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cs="HelveticaWorld-Bold"/>
          <w:b/>
          <w:bCs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>ИНСТРУКЦИЯ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по применению лекарственного препарата для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медицинского применения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cs="HelveticaWorld-Bold"/>
          <w:b/>
          <w:bCs/>
          <w:sz w:val="24"/>
          <w:szCs w:val="24"/>
        </w:rPr>
      </w:pPr>
      <w:proofErr w:type="spellStart"/>
      <w:r w:rsidRPr="0047223C">
        <w:rPr>
          <w:rFonts w:cs="HelveticaWorld-Bold"/>
          <w:b/>
          <w:bCs/>
          <w:sz w:val="24"/>
          <w:szCs w:val="24"/>
        </w:rPr>
        <w:t>Фенистил</w:t>
      </w:r>
      <w:proofErr w:type="spellEnd"/>
      <w:r w:rsidRPr="0047223C">
        <w:rPr>
          <w:rFonts w:cs="HelveticaWorld-Bold"/>
          <w:b/>
          <w:bCs/>
          <w:sz w:val="24"/>
          <w:szCs w:val="24"/>
        </w:rPr>
        <w:t>® (</w:t>
      </w:r>
      <w:proofErr w:type="spellStart"/>
      <w:r w:rsidRPr="0047223C">
        <w:rPr>
          <w:rFonts w:cs="HelveticaWorld-Bold"/>
          <w:b/>
          <w:bCs/>
          <w:sz w:val="24"/>
          <w:szCs w:val="24"/>
        </w:rPr>
        <w:t>Fenistil</w:t>
      </w:r>
      <w:proofErr w:type="spellEnd"/>
      <w:r w:rsidRPr="0047223C">
        <w:rPr>
          <w:rFonts w:cs="HelveticaWorld-Bold"/>
          <w:b/>
          <w:bCs/>
          <w:sz w:val="24"/>
          <w:szCs w:val="24"/>
        </w:rPr>
        <w:t>®)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cs="HelveticaWorld-Bold"/>
          <w:b/>
          <w:bCs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>Регистрационный номер: П N011663/01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 xml:space="preserve">Торговое название: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Фенистил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®.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 xml:space="preserve">МНН: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Диметинден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(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Dimetindenum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).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 xml:space="preserve">Химическое название: </w:t>
      </w:r>
      <w:r w:rsidRPr="0047223C">
        <w:rPr>
          <w:rFonts w:eastAsia="HelveticaWorld-Regular" w:cs="HelveticaWorld-Regular"/>
          <w:sz w:val="24"/>
          <w:szCs w:val="24"/>
        </w:rPr>
        <w:t>N,N-Диметил-2-[3-(1RS)-1-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(пиридин-2-ил)этил]-1Н-инден-2-ил]-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этиламин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малеат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(1:1)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 xml:space="preserve">Лекарственная форма: </w:t>
      </w:r>
      <w:r w:rsidRPr="0047223C">
        <w:rPr>
          <w:rFonts w:eastAsia="HelveticaWorld-Regular" w:cs="HelveticaWorld-Regular"/>
          <w:sz w:val="24"/>
          <w:szCs w:val="24"/>
        </w:rPr>
        <w:t>капли для приема внутрь.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cs="HelveticaWorld-Bold"/>
          <w:b/>
          <w:bCs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>Состав: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cs="HelveticaWorld-Italic"/>
          <w:i/>
          <w:iCs/>
          <w:sz w:val="24"/>
          <w:szCs w:val="24"/>
        </w:rPr>
        <w:t xml:space="preserve">Активное вещество: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диметиндена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малеат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1,0 мг.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1 мл капель для приема внутрь содержит 1 мг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диметиндена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cs="HelveticaWorld-Italic"/>
          <w:i/>
          <w:iCs/>
          <w:sz w:val="24"/>
          <w:szCs w:val="24"/>
        </w:rPr>
      </w:pPr>
      <w:r w:rsidRPr="0047223C">
        <w:rPr>
          <w:rFonts w:cs="HelveticaWorld-Italic"/>
          <w:i/>
          <w:iCs/>
          <w:sz w:val="24"/>
          <w:szCs w:val="24"/>
        </w:rPr>
        <w:t>Вспомогательные вещества: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Натрия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гидрофосфата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додекагидрат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16,0 мг, лимонной кислоты моногидрат 5,0 мг, бензойная кислота 1,0 мг,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динатрия</w:t>
      </w:r>
      <w:proofErr w:type="spellEnd"/>
      <w:r w:rsidR="00FA2112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эдетат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1,0 мг, натрия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сахаринат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0,5 мг, </w:t>
      </w:r>
      <w:r w:rsidR="00FA2112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пропиленгликоль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100,0 мг, очищенная вода 888,5 мг.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 xml:space="preserve">Описание: </w:t>
      </w:r>
      <w:r w:rsidRPr="0047223C">
        <w:rPr>
          <w:rFonts w:eastAsia="HelveticaWorld-Regular" w:cs="HelveticaWorld-Regular"/>
          <w:sz w:val="24"/>
          <w:szCs w:val="24"/>
        </w:rPr>
        <w:t>бесцветная, прозрачная жидкость практически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без запаха.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cs="HelveticaWorld-Bold"/>
          <w:b/>
          <w:bCs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>Фармакотерапевтическая группа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Противоаллергическое средство – Н1-гистаминовых рецепторов блокатор.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 xml:space="preserve">Код АТХ: </w:t>
      </w:r>
      <w:r w:rsidRPr="0047223C">
        <w:rPr>
          <w:rFonts w:eastAsia="HelveticaWorld-Regular" w:cs="HelveticaWorld-Regular"/>
          <w:sz w:val="24"/>
          <w:szCs w:val="24"/>
        </w:rPr>
        <w:t>R06AВ03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cs="HelveticaWorld-Bold"/>
          <w:b/>
          <w:bCs/>
          <w:sz w:val="24"/>
          <w:szCs w:val="24"/>
        </w:rPr>
      </w:pPr>
      <w:proofErr w:type="spellStart"/>
      <w:r w:rsidRPr="0047223C">
        <w:rPr>
          <w:rFonts w:cs="HelveticaWorld-Bold"/>
          <w:b/>
          <w:bCs/>
          <w:sz w:val="24"/>
          <w:szCs w:val="24"/>
        </w:rPr>
        <w:t>Фармакодинамика</w:t>
      </w:r>
      <w:proofErr w:type="spellEnd"/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Антигистаминное, противоаллергическое и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противозудное</w:t>
      </w:r>
      <w:proofErr w:type="spellEnd"/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средство. Блокатор H1-гистаминовых рецепторов, является</w:t>
      </w:r>
      <w:r w:rsidR="00FA2112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конкурентным антагонистом гистамина.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Препарат снижает повышенную проницаемость капилляров, связанную с аллергическими реакциями.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Оказывает также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антибрадикининовое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и слабое м-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холиноблокирующее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действие. При приеме препарата днем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может отмечаться незначительный седативный эффект.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b/>
          <w:bCs/>
          <w:sz w:val="24"/>
          <w:szCs w:val="24"/>
        </w:rPr>
      </w:pPr>
      <w:r w:rsidRPr="0047223C">
        <w:rPr>
          <w:rFonts w:eastAsia="HelveticaWorld-Regular" w:cs="HelveticaWorld-Regular"/>
          <w:b/>
          <w:bCs/>
          <w:sz w:val="24"/>
          <w:szCs w:val="24"/>
        </w:rPr>
        <w:t>Фармакокинетика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Быстро и достаточно полно всасывается при приеме внутрь.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proofErr w:type="spellStart"/>
      <w:r w:rsidRPr="0047223C">
        <w:rPr>
          <w:rFonts w:eastAsia="HelveticaWorld-Regular" w:cs="HelveticaWorld-Regular"/>
          <w:sz w:val="24"/>
          <w:szCs w:val="24"/>
        </w:rPr>
        <w:t>Биодоступность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около 70 %. Антигистаминный эффект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начинает проявляться через 30 минут после приема внутрь,</w:t>
      </w:r>
      <w:r w:rsidR="00FA2112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достигая максимальной выраженности в течение 5 часов.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Время достижения максимальной концентрации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диметиндена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в плазме крови после перорального приема капель –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2 часа. Связь с белками плазмы – 90 %. Хорошо проникает в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 xml:space="preserve">ткани.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Метаболизируется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в печени путем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гидроксилирования</w:t>
      </w:r>
      <w:proofErr w:type="spellEnd"/>
      <w:r w:rsidR="00FA2112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 xml:space="preserve">и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метоксилирования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. Период полувыведения – 6 часов.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Выводится с желчью и мочой (90 % в виде метаболита и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10 % в неизмененном виде).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b/>
          <w:bCs/>
          <w:sz w:val="24"/>
          <w:szCs w:val="24"/>
        </w:rPr>
      </w:pPr>
      <w:r w:rsidRPr="0047223C">
        <w:rPr>
          <w:rFonts w:eastAsia="HelveticaWorld-Regular" w:cs="HelveticaWorld-Regular"/>
          <w:b/>
          <w:bCs/>
          <w:sz w:val="24"/>
          <w:szCs w:val="24"/>
        </w:rPr>
        <w:t>Показания к применению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Аллергические заболевания: крапивница, сенная лихорадка, круглогодичный аллергический ринит, ангионевротический отек, пищевая и лекарственная аллергия.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Кожный зуд различного происхождения (экзема, зудящие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 xml:space="preserve">дерматозы: в том числе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атопический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дерматит; корь, краснуха, ветряная оспа, укусы насекомых).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Профилактика аллергических реакций во время проведения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гипосенсибилизирующей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терапии.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b/>
          <w:bCs/>
          <w:sz w:val="24"/>
          <w:szCs w:val="24"/>
        </w:rPr>
      </w:pPr>
      <w:r w:rsidRPr="0047223C">
        <w:rPr>
          <w:rFonts w:eastAsia="HelveticaWorld-Regular" w:cs="HelveticaWorld-Regular"/>
          <w:b/>
          <w:bCs/>
          <w:sz w:val="24"/>
          <w:szCs w:val="24"/>
        </w:rPr>
        <w:t>Противопоказания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Повышенная чувствительность к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диметиндену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и другим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 xml:space="preserve">компонентам, входящим в состав препарата,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закрытоугольная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глаукома, бронхиальная астма, гиперплазия предстательной железы, детский возраст до 1 месяца, беременность I триместр, период грудного вскармливания.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b/>
          <w:bCs/>
          <w:sz w:val="24"/>
          <w:szCs w:val="24"/>
        </w:rPr>
      </w:pPr>
      <w:r w:rsidRPr="0047223C">
        <w:rPr>
          <w:rFonts w:eastAsia="HelveticaWorld-Regular" w:cs="HelveticaWorld-Regular"/>
          <w:b/>
          <w:bCs/>
          <w:sz w:val="24"/>
          <w:szCs w:val="24"/>
        </w:rPr>
        <w:t>С осторожностью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lastRenderedPageBreak/>
        <w:t>При хронических обструктивных заболеваниях легких, эпилепсии. У детей в возрасте от 1 месяца до 1 года, поскольку</w:t>
      </w:r>
      <w:r w:rsidR="00FA2112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седативный эффект может сопровождаться эпизодами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ночного апноэ.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b/>
          <w:bCs/>
          <w:sz w:val="24"/>
          <w:szCs w:val="24"/>
        </w:rPr>
      </w:pPr>
      <w:r w:rsidRPr="0047223C">
        <w:rPr>
          <w:rFonts w:eastAsia="HelveticaWorld-Regular" w:cs="HelveticaWorld-Regular"/>
          <w:b/>
          <w:bCs/>
          <w:sz w:val="24"/>
          <w:szCs w:val="24"/>
        </w:rPr>
        <w:t>Применение при беременности и в период грудного</w:t>
      </w:r>
      <w:r w:rsidR="003A2C8B" w:rsidRPr="0047223C">
        <w:rPr>
          <w:rFonts w:eastAsia="HelveticaWorld-Regular" w:cs="HelveticaWorld-Regular"/>
          <w:b/>
          <w:bCs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b/>
          <w:bCs/>
          <w:sz w:val="24"/>
          <w:szCs w:val="24"/>
        </w:rPr>
        <w:t>вскармливания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Применение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Фенистила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® в период беременности (II-III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триместр) возможно под наблюдением врача, только в том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случае, если ожидаемая польза для матери превышает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потенциальный риск для плода. Применение препарата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Фенистил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® в период грудного вскармливания противопоказано.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b/>
          <w:bCs/>
          <w:sz w:val="24"/>
          <w:szCs w:val="24"/>
        </w:rPr>
      </w:pPr>
      <w:r w:rsidRPr="0047223C">
        <w:rPr>
          <w:rFonts w:eastAsia="HelveticaWorld-Regular" w:cs="HelveticaWorld-Regular"/>
          <w:b/>
          <w:bCs/>
          <w:sz w:val="24"/>
          <w:szCs w:val="24"/>
        </w:rPr>
        <w:t>Способ применения и дозы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Внутрь.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Italic"/>
          <w:i/>
          <w:iCs/>
          <w:sz w:val="24"/>
          <w:szCs w:val="24"/>
        </w:rPr>
        <w:t>Дети в возрасте от 1 месяца до 12 лет</w:t>
      </w:r>
      <w:r w:rsidRPr="0047223C">
        <w:rPr>
          <w:rFonts w:eastAsia="HelveticaWorld-Regular" w:cs="HelveticaWorld-Regular"/>
          <w:sz w:val="24"/>
          <w:szCs w:val="24"/>
        </w:rPr>
        <w:t>: рекомендована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суточная доза из расчета 0,1 мг/кг массы тела, что эквивалентно 2 каплям на кг массы тела. Суточную дозу необходимо разделить на 3 приема. Детям в возрасте от 1 месяца</w:t>
      </w:r>
      <w:r w:rsidR="003A2C8B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до 1 года следует принимать препарат только по назначению врача и при наличии показаний к применению блокаторов Н1-гистаминовых рецепторов.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Italic"/>
          <w:i/>
          <w:iCs/>
          <w:sz w:val="24"/>
          <w:szCs w:val="24"/>
        </w:rPr>
        <w:t>Детям старше 12 лет и взрослым</w:t>
      </w:r>
      <w:r w:rsidRPr="0047223C">
        <w:rPr>
          <w:rFonts w:eastAsia="HelveticaWorld-Regular" w:cs="HelveticaWorld-Regular"/>
          <w:sz w:val="24"/>
          <w:szCs w:val="24"/>
        </w:rPr>
        <w:t xml:space="preserve">: рекомендованная суточная доза составляет 3-6 мг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диметиндена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(60 – 120 капель),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азделенная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на 3 приема, то есть по 20-40 капель 3 раза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в день.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20 капель = 1 мл = 1 мг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диметиндена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Для пожилых пациентов (старше 65 лет) коррекция дозы не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требуется. Пациентам, склонным к сонливости, рекомендуется применять 40 капель перед сном и 20 капель утром.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b/>
          <w:bCs/>
          <w:sz w:val="24"/>
          <w:szCs w:val="24"/>
        </w:rPr>
      </w:pPr>
      <w:r w:rsidRPr="0047223C">
        <w:rPr>
          <w:rFonts w:eastAsia="HelveticaWorld-Regular" w:cs="HelveticaWorld-Regular"/>
          <w:b/>
          <w:bCs/>
          <w:sz w:val="24"/>
          <w:szCs w:val="24"/>
        </w:rPr>
        <w:t>Побочное действие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Классификация частоты возникновения побочных реакций: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очень частые (≥1/10), частые (≥1/100 до &lt;1/10), нечастые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(≥1/1,000 до &lt;1/100), редкие (≥1/10,000 до &lt;1/1,000), очень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редкие (&lt;1/10,000), включая отдельные сообщения и реакции с неизвестной частотой.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Italic"/>
          <w:i/>
          <w:iCs/>
          <w:sz w:val="24"/>
          <w:szCs w:val="24"/>
        </w:rPr>
      </w:pPr>
      <w:r w:rsidRPr="0047223C">
        <w:rPr>
          <w:rFonts w:eastAsia="HelveticaWorld-Regular" w:cs="HelveticaWorld-Italic"/>
          <w:i/>
          <w:iCs/>
          <w:sz w:val="24"/>
          <w:szCs w:val="24"/>
        </w:rPr>
        <w:t>Нарушения со стороны иммунной системы: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Очень редко: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анафилактоидные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реакции, включающие отек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лица, отек глотки, сыпь, мышечные спазмы и одышку.</w:t>
      </w:r>
    </w:p>
    <w:p w:rsidR="000A307C" w:rsidRPr="0047223C" w:rsidRDefault="000A307C" w:rsidP="000A307C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Italic"/>
          <w:i/>
          <w:iCs/>
          <w:sz w:val="24"/>
          <w:szCs w:val="24"/>
        </w:rPr>
      </w:pPr>
      <w:r w:rsidRPr="0047223C">
        <w:rPr>
          <w:rFonts w:eastAsia="HelveticaWorld-Regular" w:cs="HelveticaWorld-Italic"/>
          <w:i/>
          <w:iCs/>
          <w:sz w:val="24"/>
          <w:szCs w:val="24"/>
        </w:rPr>
        <w:t>Нарушения психики:</w:t>
      </w:r>
    </w:p>
    <w:p w:rsidR="0005500F" w:rsidRPr="0047223C" w:rsidRDefault="000A307C" w:rsidP="000A307C">
      <w:pPr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Редко: беспокойство.__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cs="HelveticaWorld-Italic"/>
          <w:i/>
          <w:iCs/>
          <w:sz w:val="24"/>
          <w:szCs w:val="24"/>
        </w:rPr>
      </w:pPr>
      <w:r w:rsidRPr="0047223C">
        <w:rPr>
          <w:rFonts w:cs="HelveticaWorld-Italic"/>
          <w:i/>
          <w:iCs/>
          <w:sz w:val="24"/>
          <w:szCs w:val="24"/>
        </w:rPr>
        <w:t>Нарушения со стороны нервной системы: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Очень часто: утомляемость.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Часто: сонливость, нервозность.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Редко: головная боль, головокружение.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cs="HelveticaWorld-Italic"/>
          <w:i/>
          <w:iCs/>
          <w:sz w:val="24"/>
          <w:szCs w:val="24"/>
        </w:rPr>
      </w:pPr>
      <w:r w:rsidRPr="0047223C">
        <w:rPr>
          <w:rFonts w:cs="HelveticaWorld-Italic"/>
          <w:i/>
          <w:iCs/>
          <w:sz w:val="24"/>
          <w:szCs w:val="24"/>
        </w:rPr>
        <w:t>Нарушения со стороны желудочно-кишечного тракта: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Редко: желудочно-кишечные расстройства, тошнота,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сухость во рту, сухость в гортани.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Если любые из указанных в инструкции побочных эффектов усугубляются, или Вы заметили любые другие побочные</w:t>
      </w:r>
      <w:r w:rsidR="00FA2112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эффекты не указанные в инструкции, сообщите об этом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врачу.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cs="HelveticaWorld-Bold"/>
          <w:b/>
          <w:bCs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t>Передозировка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Симптомы: угнетение центральной нервной системы (ЦНС)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и сонливость (в основном у взрослых), стимуляция ЦНС и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м-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холиноблокирующие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эффекты (особенно у детей), в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т.ч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.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 xml:space="preserve">возбуждение, атаксия, тахикардия, галлюцинации, тонико-клонические судороги,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мидриаз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, сухость во рту, «приливы» крови к лицу, задержка мочи и лихорадка; снижение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АД, коллапс.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Лечение: активированный уголь, солевые слабительные,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лекарственные средства для поддержания деятельности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сердечной и дыхательной систем (аналептические лекарственные средства не должны применяться).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cs="HelveticaWorld-Bold"/>
          <w:b/>
          <w:bCs/>
          <w:sz w:val="24"/>
          <w:szCs w:val="24"/>
        </w:rPr>
      </w:pPr>
      <w:r w:rsidRPr="0047223C">
        <w:rPr>
          <w:rFonts w:cs="HelveticaWorld-Bold"/>
          <w:b/>
          <w:bCs/>
          <w:sz w:val="24"/>
          <w:szCs w:val="24"/>
        </w:rPr>
        <w:lastRenderedPageBreak/>
        <w:t>Взаимодействия с другими лекарственными препаратами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Усиливает действие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анксиолитиков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, снотворных средств и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других препаратов, угнетающих функцию ЦНС (опиоидных</w:t>
      </w:r>
      <w:r w:rsidR="00FA2112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 xml:space="preserve">анальгетиков, противосудорожных препаратов, </w:t>
      </w:r>
      <w:r w:rsidR="00FA2112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трициклических антидепрессантов, ингибиторов МАО, антигистаминных средств, противорвотных средств, нейролептиков,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скополамина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, этанола). Трициклические антидепрессанты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и м-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холиноблокаторы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(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бронходилататоры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, желудочно-кишечные спазмолитики и т.п.) увеличивают риск повышения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внутриглазного давления или задержки мочи. Также необходимо избегать совместного применения антигистаминных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средств и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прокарбазина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Bold"/>
          <w:b/>
          <w:bCs/>
          <w:sz w:val="24"/>
          <w:szCs w:val="24"/>
        </w:rPr>
      </w:pPr>
      <w:r w:rsidRPr="0047223C">
        <w:rPr>
          <w:rFonts w:eastAsia="HelveticaWorld-Regular" w:cs="HelveticaWorld-Bold"/>
          <w:b/>
          <w:bCs/>
          <w:sz w:val="24"/>
          <w:szCs w:val="24"/>
        </w:rPr>
        <w:t>Особые указания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У детей младшего возраста, в частности в возрасте до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6 лет, антигистаминные препараты могут вызывать повышенную возбудимость.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 xml:space="preserve">Капли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Фенистил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® не следует подвергать воздействию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высокой температуры; при назначении грудным детям их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следует добавлять в бутылочку с теплым детским питанием непосредственно перед кормлением. Если ребенка</w:t>
      </w:r>
      <w:r w:rsidR="00603D18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уже кормят с ложки, капли можно давать неразведенными.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Капли имеют приятный вкус. Не превышать рекомендованной дозы. Неэффективен при зуде, связанном с холестазом.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Bold"/>
          <w:b/>
          <w:bCs/>
          <w:sz w:val="24"/>
          <w:szCs w:val="24"/>
        </w:rPr>
      </w:pPr>
      <w:r w:rsidRPr="0047223C">
        <w:rPr>
          <w:rFonts w:eastAsia="HelveticaWorld-Regular" w:cs="HelveticaWorld-Bold"/>
          <w:b/>
          <w:bCs/>
          <w:sz w:val="24"/>
          <w:szCs w:val="24"/>
        </w:rPr>
        <w:t>Влияние на способность управлять автомобилем и</w:t>
      </w:r>
      <w:r w:rsidR="00603D18" w:rsidRPr="0047223C">
        <w:rPr>
          <w:rFonts w:eastAsia="HelveticaWorld-Regular" w:cs="HelveticaWorld-Bold"/>
          <w:b/>
          <w:bCs/>
          <w:sz w:val="24"/>
          <w:szCs w:val="24"/>
        </w:rPr>
        <w:t xml:space="preserve"> </w:t>
      </w:r>
      <w:r w:rsidRPr="0047223C">
        <w:rPr>
          <w:rFonts w:eastAsia="HelveticaWorld-Regular" w:cs="HelveticaWorld-Bold"/>
          <w:b/>
          <w:bCs/>
          <w:sz w:val="24"/>
          <w:szCs w:val="24"/>
        </w:rPr>
        <w:t>работать с механизмами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Подобно другим антигистаминным средствам препарат</w:t>
      </w:r>
      <w:r w:rsidR="00900F4C"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Фенистил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® может ослаблять внимание, поэтому его следует принимать с осторожностью при управлении автомобилем, работе с механизмами или при других видах работ,</w:t>
      </w:r>
      <w:r w:rsidR="00900F4C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где требуется повышенное внимание.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Bold"/>
          <w:b/>
          <w:bCs/>
          <w:sz w:val="24"/>
          <w:szCs w:val="24"/>
        </w:rPr>
      </w:pPr>
      <w:r w:rsidRPr="0047223C">
        <w:rPr>
          <w:rFonts w:eastAsia="HelveticaWorld-Regular" w:cs="HelveticaWorld-Bold"/>
          <w:b/>
          <w:bCs/>
          <w:sz w:val="24"/>
          <w:szCs w:val="24"/>
        </w:rPr>
        <w:t>Форма выпуска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Капли для приема внутрь 1 мг/мл.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По 20 мл во флакон из темного стекла, снабженный</w:t>
      </w:r>
      <w:r w:rsidR="00900F4C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капельницей-дозатором из полиэтилена низкой плотности</w:t>
      </w:r>
      <w:r w:rsidR="00900F4C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 xml:space="preserve">и полипропиленовой крышкой. Флакон вместе с </w:t>
      </w:r>
      <w:bookmarkStart w:id="0" w:name="_GoBack"/>
      <w:bookmarkEnd w:id="0"/>
      <w:r w:rsidRPr="0047223C">
        <w:rPr>
          <w:rFonts w:eastAsia="HelveticaWorld-Regular" w:cs="HelveticaWorld-Regular"/>
          <w:sz w:val="24"/>
          <w:szCs w:val="24"/>
        </w:rPr>
        <w:t>инструкцией по применению помещают в картонную пачку.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Bold"/>
          <w:b/>
          <w:bCs/>
          <w:sz w:val="24"/>
          <w:szCs w:val="24"/>
        </w:rPr>
      </w:pPr>
      <w:r w:rsidRPr="0047223C">
        <w:rPr>
          <w:rFonts w:eastAsia="HelveticaWorld-Regular" w:cs="HelveticaWorld-Bold"/>
          <w:b/>
          <w:bCs/>
          <w:sz w:val="24"/>
          <w:szCs w:val="24"/>
        </w:rPr>
        <w:t>Срок годности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2 года. Препарат не следует использовать после истечения</w:t>
      </w:r>
      <w:r w:rsidR="00900F4C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срока годности.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Bold"/>
          <w:b/>
          <w:bCs/>
          <w:sz w:val="24"/>
          <w:szCs w:val="24"/>
        </w:rPr>
      </w:pPr>
      <w:r w:rsidRPr="0047223C">
        <w:rPr>
          <w:rFonts w:eastAsia="HelveticaWorld-Regular" w:cs="HelveticaWorld-Bold"/>
          <w:b/>
          <w:bCs/>
          <w:sz w:val="24"/>
          <w:szCs w:val="24"/>
        </w:rPr>
        <w:t>Условия хранения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При температуре не выше 25 °С в оригинальной упаковке.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Хранить в недоступном для детей месте.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Bold"/>
          <w:b/>
          <w:bCs/>
          <w:sz w:val="24"/>
          <w:szCs w:val="24"/>
        </w:rPr>
      </w:pPr>
      <w:r w:rsidRPr="0047223C">
        <w:rPr>
          <w:rFonts w:eastAsia="HelveticaWorld-Regular" w:cs="HelveticaWorld-Bold"/>
          <w:b/>
          <w:bCs/>
          <w:sz w:val="24"/>
          <w:szCs w:val="24"/>
        </w:rPr>
        <w:t>Условия отпуска из аптек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Без рецепта.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Bold"/>
          <w:b/>
          <w:bCs/>
          <w:sz w:val="24"/>
          <w:szCs w:val="24"/>
        </w:rPr>
      </w:pPr>
      <w:r w:rsidRPr="0047223C">
        <w:rPr>
          <w:rFonts w:eastAsia="HelveticaWorld-Regular" w:cs="HelveticaWorld-Bold"/>
          <w:b/>
          <w:bCs/>
          <w:sz w:val="24"/>
          <w:szCs w:val="24"/>
        </w:rPr>
        <w:t>Производитель</w:t>
      </w:r>
    </w:p>
    <w:p w:rsidR="00900F4C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proofErr w:type="spellStart"/>
      <w:r w:rsidRPr="0047223C">
        <w:rPr>
          <w:rFonts w:eastAsia="HelveticaWorld-Regular" w:cs="HelveticaWorld-Regular"/>
          <w:sz w:val="24"/>
          <w:szCs w:val="24"/>
        </w:rPr>
        <w:t>Новартис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Консьюмер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Хелс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СА,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Рю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де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Летраз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, 1260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Нион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,</w:t>
      </w:r>
      <w:r w:rsidR="00900F4C" w:rsidRPr="0047223C">
        <w:rPr>
          <w:rFonts w:eastAsia="HelveticaWorld-Regular" w:cs="HelveticaWorld-Regular"/>
          <w:sz w:val="24"/>
          <w:szCs w:val="24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</w:rPr>
        <w:t>Швейцария</w:t>
      </w:r>
      <w:r w:rsidR="00900F4C" w:rsidRPr="0047223C">
        <w:rPr>
          <w:rFonts w:eastAsia="HelveticaWorld-Regular" w:cs="HelveticaWorld-Regular"/>
          <w:sz w:val="24"/>
          <w:szCs w:val="24"/>
        </w:rPr>
        <w:t xml:space="preserve"> 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  <w:lang w:val="en-US"/>
        </w:rPr>
      </w:pPr>
      <w:r w:rsidRPr="0047223C">
        <w:rPr>
          <w:rFonts w:eastAsia="HelveticaWorld-Regular" w:cs="HelveticaWorld-Regular"/>
          <w:sz w:val="24"/>
          <w:szCs w:val="24"/>
          <w:lang w:val="en-US"/>
        </w:rPr>
        <w:t xml:space="preserve">Novartis Consumer Health SA, Route de </w:t>
      </w:r>
      <w:proofErr w:type="spellStart"/>
      <w:r w:rsidRPr="0047223C">
        <w:rPr>
          <w:rFonts w:eastAsia="HelveticaWorld-Regular" w:cs="HelveticaWorld-Regular"/>
          <w:sz w:val="24"/>
          <w:szCs w:val="24"/>
          <w:lang w:val="en-US"/>
        </w:rPr>
        <w:t>l’Etraz</w:t>
      </w:r>
      <w:proofErr w:type="spellEnd"/>
      <w:r w:rsidRPr="0047223C">
        <w:rPr>
          <w:rFonts w:eastAsia="HelveticaWorld-Regular" w:cs="HelveticaWorld-Regular"/>
          <w:sz w:val="24"/>
          <w:szCs w:val="24"/>
          <w:lang w:val="en-US"/>
        </w:rPr>
        <w:t xml:space="preserve">, 1260 </w:t>
      </w:r>
      <w:proofErr w:type="spellStart"/>
      <w:r w:rsidRPr="0047223C">
        <w:rPr>
          <w:rFonts w:eastAsia="HelveticaWorld-Regular" w:cs="HelveticaWorld-Regular"/>
          <w:sz w:val="24"/>
          <w:szCs w:val="24"/>
          <w:lang w:val="en-US"/>
        </w:rPr>
        <w:t>Nyon</w:t>
      </w:r>
      <w:proofErr w:type="spellEnd"/>
      <w:r w:rsidRPr="0047223C">
        <w:rPr>
          <w:rFonts w:eastAsia="HelveticaWorld-Regular" w:cs="HelveticaWorld-Regular"/>
          <w:sz w:val="24"/>
          <w:szCs w:val="24"/>
          <w:lang w:val="en-US"/>
        </w:rPr>
        <w:t>,</w:t>
      </w:r>
      <w:r w:rsidR="00900F4C" w:rsidRPr="0047223C">
        <w:rPr>
          <w:rFonts w:eastAsia="HelveticaWorld-Regular" w:cs="HelveticaWorld-Regular"/>
          <w:sz w:val="24"/>
          <w:szCs w:val="24"/>
          <w:lang w:val="en-US"/>
        </w:rPr>
        <w:t xml:space="preserve"> </w:t>
      </w:r>
      <w:r w:rsidRPr="0047223C">
        <w:rPr>
          <w:rFonts w:eastAsia="HelveticaWorld-Regular" w:cs="HelveticaWorld-Regular"/>
          <w:sz w:val="24"/>
          <w:szCs w:val="24"/>
          <w:lang w:val="en-US"/>
        </w:rPr>
        <w:t>Switzerland.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Bold"/>
          <w:b/>
          <w:bCs/>
          <w:sz w:val="24"/>
          <w:szCs w:val="24"/>
        </w:rPr>
      </w:pPr>
      <w:r w:rsidRPr="0047223C">
        <w:rPr>
          <w:rFonts w:eastAsia="HelveticaWorld-Regular" w:cs="HelveticaWorld-Bold"/>
          <w:b/>
          <w:bCs/>
          <w:sz w:val="24"/>
          <w:szCs w:val="24"/>
        </w:rPr>
        <w:t>Юридическое лицо, на имя которого выдано</w:t>
      </w:r>
      <w:r w:rsidR="00900F4C" w:rsidRPr="0047223C">
        <w:rPr>
          <w:rFonts w:eastAsia="HelveticaWorld-Regular" w:cs="HelveticaWorld-Bold"/>
          <w:b/>
          <w:bCs/>
          <w:sz w:val="24"/>
          <w:szCs w:val="24"/>
        </w:rPr>
        <w:t xml:space="preserve"> </w:t>
      </w:r>
      <w:r w:rsidRPr="0047223C">
        <w:rPr>
          <w:rFonts w:eastAsia="HelveticaWorld-Regular" w:cs="HelveticaWorld-Bold"/>
          <w:b/>
          <w:bCs/>
          <w:sz w:val="24"/>
          <w:szCs w:val="24"/>
        </w:rPr>
        <w:t>регистрационное удостоверение и организация,</w:t>
      </w:r>
      <w:r w:rsidR="00900F4C" w:rsidRPr="0047223C">
        <w:rPr>
          <w:rFonts w:eastAsia="HelveticaWorld-Regular" w:cs="HelveticaWorld-Bold"/>
          <w:b/>
          <w:bCs/>
          <w:sz w:val="24"/>
          <w:szCs w:val="24"/>
        </w:rPr>
        <w:t xml:space="preserve"> </w:t>
      </w:r>
      <w:r w:rsidRPr="0047223C">
        <w:rPr>
          <w:rFonts w:eastAsia="HelveticaWorld-Regular" w:cs="HelveticaWorld-Bold"/>
          <w:b/>
          <w:bCs/>
          <w:sz w:val="24"/>
          <w:szCs w:val="24"/>
        </w:rPr>
        <w:t>принимающая претензии на территории Российской</w:t>
      </w:r>
      <w:r w:rsidR="00900F4C" w:rsidRPr="0047223C">
        <w:rPr>
          <w:rFonts w:eastAsia="HelveticaWorld-Regular" w:cs="HelveticaWorld-Bold"/>
          <w:b/>
          <w:bCs/>
          <w:sz w:val="24"/>
          <w:szCs w:val="24"/>
        </w:rPr>
        <w:t xml:space="preserve"> </w:t>
      </w:r>
      <w:r w:rsidRPr="0047223C">
        <w:rPr>
          <w:rFonts w:eastAsia="HelveticaWorld-Regular" w:cs="HelveticaWorld-Bold"/>
          <w:b/>
          <w:bCs/>
          <w:sz w:val="24"/>
          <w:szCs w:val="24"/>
        </w:rPr>
        <w:t>Федерации: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АО «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ГлаксоСмитКляйн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 xml:space="preserve"> </w:t>
      </w:r>
      <w:proofErr w:type="spellStart"/>
      <w:r w:rsidRPr="0047223C">
        <w:rPr>
          <w:rFonts w:eastAsia="HelveticaWorld-Regular" w:cs="HelveticaWorld-Regular"/>
          <w:sz w:val="24"/>
          <w:szCs w:val="24"/>
        </w:rPr>
        <w:t>Хелскер</w:t>
      </w:r>
      <w:proofErr w:type="spellEnd"/>
      <w:r w:rsidRPr="0047223C">
        <w:rPr>
          <w:rFonts w:eastAsia="HelveticaWorld-Regular" w:cs="HelveticaWorld-Regular"/>
          <w:sz w:val="24"/>
          <w:szCs w:val="24"/>
        </w:rPr>
        <w:t>».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123317, г. Москва, Пресненская набережная, д. 10.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Тел. 8 (495) 777-98-50;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факс 8 (495) 777-98-51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</w:rPr>
      </w:pPr>
      <w:r w:rsidRPr="0047223C">
        <w:rPr>
          <w:rFonts w:eastAsia="HelveticaWorld-Regular" w:cs="HelveticaWorld-Regular"/>
          <w:sz w:val="24"/>
          <w:szCs w:val="24"/>
        </w:rPr>
        <w:t>Телефон бесплатной «Горячей линии»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EuropeanPi-Four"/>
          <w:sz w:val="24"/>
          <w:szCs w:val="24"/>
          <w:lang w:val="en-US"/>
        </w:rPr>
      </w:pPr>
      <w:r w:rsidRPr="0047223C">
        <w:rPr>
          <w:rFonts w:eastAsia="HelveticaWorld-Regular" w:cs="EuropeanPi-Four"/>
          <w:sz w:val="24"/>
          <w:szCs w:val="24"/>
          <w:lang w:val="en-US"/>
        </w:rPr>
        <w:t>_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  <w:lang w:val="en-US"/>
        </w:rPr>
      </w:pPr>
      <w:r w:rsidRPr="0047223C">
        <w:rPr>
          <w:rFonts w:eastAsia="HelveticaWorld-Regular" w:cs="HelveticaWorld-Regular"/>
          <w:sz w:val="24"/>
          <w:szCs w:val="24"/>
          <w:lang w:val="en-US"/>
        </w:rPr>
        <w:t>8 800 2000 775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  <w:lang w:val="en-US"/>
        </w:rPr>
      </w:pPr>
      <w:r w:rsidRPr="0047223C">
        <w:rPr>
          <w:rFonts w:eastAsia="HelveticaWorld-Regular" w:cs="HelveticaWorld-Regular"/>
          <w:sz w:val="24"/>
          <w:szCs w:val="24"/>
          <w:lang w:val="en-US"/>
        </w:rPr>
        <w:t>E-mail: rus.info@gsk.com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  <w:lang w:val="en-US"/>
        </w:rPr>
      </w:pPr>
      <w:r w:rsidRPr="0047223C">
        <w:rPr>
          <w:rFonts w:eastAsia="HelveticaWorld-Regular" w:cs="HelveticaWorld-Regular"/>
          <w:sz w:val="24"/>
          <w:szCs w:val="24"/>
          <w:lang w:val="en-US"/>
        </w:rPr>
        <w:t>RU 937697 – RU 151722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World-Regular"/>
          <w:sz w:val="24"/>
          <w:szCs w:val="24"/>
          <w:lang w:val="en-US"/>
        </w:rPr>
      </w:pPr>
      <w:r w:rsidRPr="0047223C">
        <w:rPr>
          <w:rFonts w:eastAsia="HelveticaWorld-Regular" w:cs="HelveticaWorld-Regular"/>
          <w:sz w:val="24"/>
          <w:szCs w:val="24"/>
          <w:lang w:val="en-US"/>
        </w:rPr>
        <w:lastRenderedPageBreak/>
        <w:t>Pharma code 1549</w:t>
      </w:r>
    </w:p>
    <w:p w:rsidR="00EB05D8" w:rsidRPr="0047223C" w:rsidRDefault="00EB05D8" w:rsidP="00EB05D8">
      <w:pPr>
        <w:autoSpaceDE w:val="0"/>
        <w:autoSpaceDN w:val="0"/>
        <w:adjustRightInd w:val="0"/>
        <w:spacing w:after="0" w:line="240" w:lineRule="auto"/>
        <w:rPr>
          <w:rFonts w:eastAsia="HelveticaWorld-Regular" w:cs="HelveticaNeueLTPro-Cn"/>
          <w:sz w:val="24"/>
          <w:szCs w:val="24"/>
          <w:lang w:val="en-US"/>
        </w:rPr>
      </w:pPr>
      <w:r w:rsidRPr="0047223C">
        <w:rPr>
          <w:rFonts w:eastAsia="HelveticaWorld-Regular" w:cs="HelveticaNeueLTPro-Cn"/>
          <w:sz w:val="24"/>
          <w:szCs w:val="24"/>
          <w:lang w:val="en-US"/>
        </w:rPr>
        <w:t>145 mm</w:t>
      </w:r>
    </w:p>
    <w:p w:rsidR="00EB05D8" w:rsidRPr="0047223C" w:rsidRDefault="00EB05D8" w:rsidP="00EB05D8">
      <w:pPr>
        <w:rPr>
          <w:sz w:val="24"/>
          <w:szCs w:val="24"/>
          <w:lang w:val="en-US"/>
        </w:rPr>
      </w:pPr>
      <w:r w:rsidRPr="0047223C">
        <w:rPr>
          <w:rFonts w:eastAsia="HelveticaWorld-Regular" w:cs="HelveticaNeueLTPro-Cn"/>
          <w:sz w:val="24"/>
          <w:szCs w:val="24"/>
          <w:lang w:val="en-US"/>
        </w:rPr>
        <w:t>9 mm</w:t>
      </w:r>
      <w:r w:rsidRPr="0047223C">
        <w:rPr>
          <w:rFonts w:eastAsia="HelveticaWorld-Regular" w:cs="HelveticaWorld-Regular"/>
          <w:sz w:val="24"/>
          <w:szCs w:val="24"/>
          <w:lang w:val="en-US"/>
        </w:rPr>
        <w:t>__</w:t>
      </w:r>
    </w:p>
    <w:sectPr w:rsidR="00EB05D8" w:rsidRPr="0047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World-Bold">
    <w:altName w:val="Arial"/>
    <w:panose1 w:val="00000000000000000000"/>
    <w:charset w:val="CC"/>
    <w:family w:val="auto"/>
    <w:notTrueType/>
    <w:pitch w:val="default"/>
    <w:sig w:usb0="20000203" w:usb1="00000000" w:usb2="00000000" w:usb3="00000000" w:csb0="00000105" w:csb1="00000000"/>
  </w:font>
  <w:font w:name="HelveticaWorld-Regular">
    <w:altName w:val="Arial Unicode MS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  <w:font w:name="HelveticaWorld-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uropeanPi-Fou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Pro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7C"/>
    <w:rsid w:val="00015F2E"/>
    <w:rsid w:val="0005500F"/>
    <w:rsid w:val="000A307C"/>
    <w:rsid w:val="003A2C8B"/>
    <w:rsid w:val="0047223C"/>
    <w:rsid w:val="00603D18"/>
    <w:rsid w:val="00900F4C"/>
    <w:rsid w:val="00EB05D8"/>
    <w:rsid w:val="00F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9A2A"/>
  <w15:chartTrackingRefBased/>
  <w15:docId w15:val="{81820B14-BC34-43FB-8CBE-CAEC87F9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Nedzvetckaia</dc:creator>
  <cp:keywords/>
  <dc:description/>
  <cp:lastModifiedBy>Natalia Nedzvetckaia</cp:lastModifiedBy>
  <cp:revision>7</cp:revision>
  <dcterms:created xsi:type="dcterms:W3CDTF">2017-05-15T20:12:00Z</dcterms:created>
  <dcterms:modified xsi:type="dcterms:W3CDTF">2017-05-15T20:22:00Z</dcterms:modified>
</cp:coreProperties>
</file>