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453" w:type="dxa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8013"/>
      </w:tblGrid>
      <w:tr w:rsidR="00D67262" w14:paraId="21E4CFE9" w14:textId="77777777" w:rsidTr="00945922">
        <w:trPr>
          <w:trHeight w:val="1060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Start w:id="0" w:name="_GoBack"/>
          <w:bookmarkEnd w:id="0"/>
          <w:p w14:paraId="0AAAC13E" w14:textId="77777777" w:rsidR="00D67262" w:rsidRDefault="00945922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D8558D" wp14:editId="6B56D038">
                      <wp:extent cx="324002" cy="612000"/>
                      <wp:effectExtent l="0" t="0" r="0" b="0"/>
                      <wp:docPr id="3540" name="Group 3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002" cy="612000"/>
                                <a:chOff x="0" y="0"/>
                                <a:chExt cx="324002" cy="612000"/>
                              </a:xfrm>
                            </wpg:grpSpPr>
                            <wps:wsp>
                              <wps:cNvPr id="3710" name="Shape 3710"/>
                              <wps:cNvSpPr/>
                              <wps:spPr>
                                <a:xfrm>
                                  <a:off x="0" y="594004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1" name="Shape 3711"/>
                              <wps:cNvSpPr/>
                              <wps:spPr>
                                <a:xfrm>
                                  <a:off x="0" y="540004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2" name="Shape 3712"/>
                              <wps:cNvSpPr/>
                              <wps:spPr>
                                <a:xfrm>
                                  <a:off x="0" y="449999"/>
                                  <a:ext cx="324002" cy="54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54001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54001"/>
                                      </a:lnTo>
                                      <a:lnTo>
                                        <a:pt x="0" y="540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3" name="Shape 3713"/>
                              <wps:cNvSpPr/>
                              <wps:spPr>
                                <a:xfrm>
                                  <a:off x="0" y="360007"/>
                                  <a:ext cx="324002" cy="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54000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54000"/>
                                      </a:lnTo>
                                      <a:lnTo>
                                        <a:pt x="0" y="540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4" name="Shape 3714"/>
                              <wps:cNvSpPr/>
                              <wps:spPr>
                                <a:xfrm>
                                  <a:off x="0" y="306006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5" name="Shape 3715"/>
                              <wps:cNvSpPr/>
                              <wps:spPr>
                                <a:xfrm>
                                  <a:off x="0" y="252006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6" name="Shape 3716"/>
                              <wps:cNvSpPr/>
                              <wps:spPr>
                                <a:xfrm>
                                  <a:off x="0" y="198006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7" name="Shape 3717"/>
                              <wps:cNvSpPr/>
                              <wps:spPr>
                                <a:xfrm>
                                  <a:off x="0" y="144005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8" name="Shape 3718"/>
                              <wps:cNvSpPr/>
                              <wps:spPr>
                                <a:xfrm>
                                  <a:off x="0" y="54001"/>
                                  <a:ext cx="324002" cy="54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54001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54001"/>
                                      </a:lnTo>
                                      <a:lnTo>
                                        <a:pt x="0" y="540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9" name="Shape 3719"/>
                              <wps:cNvSpPr/>
                              <wps:spPr>
                                <a:xfrm>
                                  <a:off x="0" y="0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40" style="width:25.512pt;height:48.189pt;mso-position-horizontal-relative:char;mso-position-vertical-relative:line" coordsize="3240,6120">
                      <v:shape id="Shape 3720" style="position:absolute;width:3240;height:179;left:0;top:594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721" style="position:absolute;width:3240;height:179;left:0;top:540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722" style="position:absolute;width:3240;height:540;left:0;top:4499;" coordsize="324002,54001" path="m0,0l324002,0l324002,54001l0,54001l0,0">
                        <v:stroke weight="0pt" endcap="flat" joinstyle="miter" miterlimit="10" on="false" color="#000000" opacity="0"/>
                        <v:fill on="true" color="#314a89"/>
                      </v:shape>
                      <v:shape id="Shape 3723" style="position:absolute;width:3240;height:540;left:0;top:3600;" coordsize="324002,54000" path="m0,0l324002,0l324002,54000l0,54000l0,0">
                        <v:stroke weight="0pt" endcap="flat" joinstyle="miter" miterlimit="10" on="false" color="#000000" opacity="0"/>
                        <v:fill on="true" color="#314a89"/>
                      </v:shape>
                      <v:shape id="Shape 3724" style="position:absolute;width:3240;height:179;left:0;top:306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725" style="position:absolute;width:3240;height:179;left:0;top:252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726" style="position:absolute;width:3240;height:179;left:0;top:198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727" style="position:absolute;width:3240;height:179;left:0;top:144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728" style="position:absolute;width:3240;height:540;left:0;top:540;" coordsize="324002,54001" path="m0,0l324002,0l324002,54001l0,54001l0,0">
                        <v:stroke weight="0pt" endcap="flat" joinstyle="miter" miterlimit="10" on="false" color="#000000" opacity="0"/>
                        <v:fill on="true" color="#314a89"/>
                      </v:shape>
                      <v:shape id="Shape 3729" style="position:absolute;width:3240;height:179;left:0;top: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</v:group>
                  </w:pict>
                </mc:Fallback>
              </mc:AlternateContent>
            </w:r>
          </w:p>
        </w:tc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</w:tcPr>
          <w:p w14:paraId="53C428A3" w14:textId="77777777" w:rsidR="00D67262" w:rsidRDefault="00D67262">
            <w:pPr>
              <w:spacing w:after="0"/>
              <w:ind w:left="-2013" w:right="9269"/>
            </w:pPr>
          </w:p>
          <w:tbl>
            <w:tblPr>
              <w:tblStyle w:val="TableGrid"/>
              <w:tblW w:w="7200" w:type="dxa"/>
              <w:tblInd w:w="57" w:type="dxa"/>
              <w:tblCellMar>
                <w:top w:w="28" w:type="dxa"/>
                <w:left w:w="0" w:type="dxa"/>
                <w:bottom w:w="0" w:type="dxa"/>
                <w:right w:w="21" w:type="dxa"/>
              </w:tblCellMar>
              <w:tblLook w:val="04A0" w:firstRow="1" w:lastRow="0" w:firstColumn="1" w:lastColumn="0" w:noHBand="0" w:noVBand="1"/>
            </w:tblPr>
            <w:tblGrid>
              <w:gridCol w:w="3713"/>
              <w:gridCol w:w="3487"/>
            </w:tblGrid>
            <w:tr w:rsidR="00D67262" w14:paraId="378318E0" w14:textId="77777777">
              <w:trPr>
                <w:trHeight w:val="10602"/>
              </w:trPr>
              <w:tc>
                <w:tcPr>
                  <w:tcW w:w="3713" w:type="dxa"/>
                  <w:tcBorders>
                    <w:top w:val="single" w:sz="2" w:space="0" w:color="902A7B"/>
                    <w:left w:val="single" w:sz="2" w:space="0" w:color="902A7B"/>
                    <w:bottom w:val="single" w:sz="2" w:space="0" w:color="902A7B"/>
                    <w:right w:val="nil"/>
                  </w:tcBorders>
                </w:tcPr>
                <w:p w14:paraId="2757C923" w14:textId="77777777" w:rsidR="00D67262" w:rsidRDefault="00945922">
                  <w:pPr>
                    <w:spacing w:after="0"/>
                    <w:ind w:right="178"/>
                    <w:jc w:val="center"/>
                  </w:pPr>
                  <w:r>
                    <w:rPr>
                      <w:rFonts w:ascii="Arial" w:eastAsia="Arial" w:hAnsi="Arial" w:cs="Arial"/>
                      <w:color w:val="314A89"/>
                      <w:sz w:val="20"/>
                    </w:rPr>
                    <w:t xml:space="preserve">ИНСТРУКЦИЯ </w:t>
                  </w:r>
                </w:p>
                <w:p w14:paraId="6DCC07F9" w14:textId="77777777" w:rsidR="00D67262" w:rsidRDefault="00945922">
                  <w:pPr>
                    <w:spacing w:after="199" w:line="230" w:lineRule="auto"/>
                    <w:ind w:left="795" w:hanging="726"/>
                  </w:pPr>
                  <w:r>
                    <w:rPr>
                      <w:rFonts w:ascii="Arial" w:eastAsia="Arial" w:hAnsi="Arial" w:cs="Arial"/>
                      <w:color w:val="314A89"/>
                      <w:sz w:val="20"/>
                    </w:rPr>
                    <w:t>по применению лекарственного препарата для медицинского применения</w:t>
                  </w:r>
                </w:p>
                <w:p w14:paraId="475AC781" w14:textId="77777777" w:rsidR="00D67262" w:rsidRDefault="00945922">
                  <w:pPr>
                    <w:spacing w:after="920"/>
                    <w:ind w:right="177"/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20"/>
                    </w:rPr>
                    <w:t>Фенистил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8"/>
                      <w:vertAlign w:val="superscript"/>
                    </w:rPr>
                    <w:t>®</w:t>
                  </w:r>
                  <w:r>
                    <w:rPr>
                      <w:rFonts w:ascii="Arial" w:eastAsia="Arial" w:hAnsi="Arial" w:cs="Arial"/>
                      <w:color w:val="314A89"/>
                      <w:sz w:val="20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20"/>
                    </w:rPr>
                    <w:t>Fenistil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8"/>
                      <w:vertAlign w:val="superscript"/>
                    </w:rPr>
                    <w:t>®</w:t>
                  </w:r>
                  <w:r>
                    <w:rPr>
                      <w:rFonts w:ascii="Arial" w:eastAsia="Arial" w:hAnsi="Arial" w:cs="Arial"/>
                      <w:color w:val="314A89"/>
                      <w:sz w:val="20"/>
                    </w:rPr>
                    <w:t>)</w:t>
                  </w:r>
                </w:p>
                <w:p w14:paraId="00A47702" w14:textId="77777777" w:rsidR="00D67262" w:rsidRDefault="00945922">
                  <w:pPr>
                    <w:spacing w:after="0"/>
                    <w:ind w:left="28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Регистрационный номер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 ЛП-000794</w:t>
                  </w:r>
                </w:p>
                <w:p w14:paraId="407644B8" w14:textId="77777777" w:rsidR="00D67262" w:rsidRDefault="00945922">
                  <w:pPr>
                    <w:spacing w:after="4"/>
                    <w:ind w:left="28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Торговое название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Фенистил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4"/>
                      <w:vertAlign w:val="superscript"/>
                    </w:rPr>
                    <w:t>®</w:t>
                  </w:r>
                </w:p>
                <w:p w14:paraId="14371B24" w14:textId="77777777" w:rsidR="00D67262" w:rsidRDefault="00945922">
                  <w:pPr>
                    <w:spacing w:after="0"/>
                    <w:ind w:left="28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Международное непатентованное наименование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 </w:t>
                  </w:r>
                </w:p>
                <w:p w14:paraId="21190048" w14:textId="77777777" w:rsidR="00D67262" w:rsidRDefault="00945922">
                  <w:pPr>
                    <w:spacing w:after="0"/>
                    <w:ind w:left="28"/>
                  </w:pP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Диметинден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Dimetindenum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). </w:t>
                  </w:r>
                </w:p>
                <w:p w14:paraId="572C9994" w14:textId="77777777" w:rsidR="00D67262" w:rsidRDefault="00945922">
                  <w:pPr>
                    <w:spacing w:after="0" w:line="248" w:lineRule="auto"/>
                    <w:ind w:left="28"/>
                    <w:jc w:val="both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Химическое название: </w:t>
                  </w:r>
                  <w:proofErr w:type="gram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N,N</w:t>
                  </w:r>
                  <w:proofErr w:type="gram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-Диметил-2-[3-[1-(2-пиридил) этил]1Н-инден-2-ил]-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этиламин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малеат</w:t>
                  </w:r>
                  <w:proofErr w:type="spellEnd"/>
                </w:p>
                <w:p w14:paraId="650CB148" w14:textId="77777777" w:rsidR="00D67262" w:rsidRDefault="00945922">
                  <w:pPr>
                    <w:spacing w:after="0" w:line="248" w:lineRule="auto"/>
                    <w:ind w:left="28" w:right="796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Лекарственная форма: 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эмульсия для наружного применения </w:t>
                  </w: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Состав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  </w:t>
                  </w:r>
                </w:p>
                <w:p w14:paraId="32FA144A" w14:textId="77777777" w:rsidR="00D67262" w:rsidRDefault="00945922">
                  <w:pPr>
                    <w:spacing w:after="0" w:line="248" w:lineRule="auto"/>
                    <w:ind w:left="28"/>
                  </w:pPr>
                  <w:r>
                    <w:rPr>
                      <w:rFonts w:ascii="Arial" w:eastAsia="Arial" w:hAnsi="Arial" w:cs="Arial"/>
                      <w:i/>
                      <w:color w:val="314A89"/>
                      <w:sz w:val="16"/>
                    </w:rPr>
                    <w:t xml:space="preserve">Активное вещество: 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в 1 г эмульсии содержится 1,00 мг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диметиндена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малеата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.</w:t>
                  </w:r>
                </w:p>
                <w:p w14:paraId="3EE91B65" w14:textId="77777777" w:rsidR="00D67262" w:rsidRDefault="00945922">
                  <w:pPr>
                    <w:spacing w:after="0" w:line="248" w:lineRule="auto"/>
                    <w:ind w:left="28" w:right="8"/>
                  </w:pPr>
                  <w:r>
                    <w:rPr>
                      <w:rFonts w:ascii="Arial" w:eastAsia="Arial" w:hAnsi="Arial" w:cs="Arial"/>
                      <w:i/>
                      <w:color w:val="314A89"/>
                      <w:sz w:val="16"/>
                    </w:rPr>
                    <w:t xml:space="preserve">Вспомогательные вещества: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бе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нзалкония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хлорид 0,1 мг,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бензиловый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спирт 5,0 мг,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бутилгидрокситолуол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0,2 мг,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динатрия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эдетат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0,5 мг,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кокоил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каприлокапрат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25,0 мг, парафин жидкий 25,0 мг,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цетостеаромакрогол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20,0 мг,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карбомер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около 4,0 мг, натрия гидроксид, раствор 30 % м/м около 4,0 мг, 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пропиленгликоль 150,0 мг, вода около             765,2 мг.</w:t>
                  </w:r>
                </w:p>
                <w:p w14:paraId="0FCCDA98" w14:textId="77777777" w:rsidR="00D67262" w:rsidRDefault="00945922">
                  <w:pPr>
                    <w:spacing w:after="0"/>
                    <w:ind w:left="28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Описание:</w:t>
                  </w:r>
                </w:p>
                <w:p w14:paraId="40EAB815" w14:textId="77777777" w:rsidR="00D67262" w:rsidRDefault="00945922">
                  <w:pPr>
                    <w:spacing w:after="0" w:line="248" w:lineRule="auto"/>
                    <w:ind w:left="28" w:right="59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Гомогенная полужидкая беловатая эмульсия с легким запахом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бензилового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спирта. </w:t>
                  </w:r>
                </w:p>
                <w:p w14:paraId="07A4E6AF" w14:textId="77777777" w:rsidR="00D67262" w:rsidRDefault="00945922">
                  <w:pPr>
                    <w:spacing w:after="0" w:line="248" w:lineRule="auto"/>
                    <w:ind w:left="28" w:right="206"/>
                    <w:jc w:val="both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Фармакотерапевтическая группа: 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Противоаллергическое средство-Н1-гистаминовых рецепторов блокатор. </w:t>
                  </w: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Код АТХ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04AA13</w:t>
                  </w:r>
                </w:p>
                <w:p w14:paraId="5C326E03" w14:textId="77777777" w:rsidR="00D67262" w:rsidRDefault="00945922">
                  <w:pPr>
                    <w:spacing w:after="0"/>
                    <w:ind w:left="28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Фармакологические свойства </w:t>
                  </w:r>
                </w:p>
                <w:p w14:paraId="15B349E6" w14:textId="77777777" w:rsidR="00D67262" w:rsidRDefault="00945922">
                  <w:pPr>
                    <w:spacing w:after="0"/>
                    <w:ind w:left="28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Фармакодинамика</w:t>
                  </w:r>
                  <w:proofErr w:type="spellEnd"/>
                </w:p>
                <w:p w14:paraId="1A26CA1C" w14:textId="77777777" w:rsidR="00D67262" w:rsidRDefault="00945922">
                  <w:pPr>
                    <w:spacing w:after="0" w:line="254" w:lineRule="auto"/>
                    <w:ind w:left="28" w:right="247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Антигистаминное, противоаллергическое и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противозудное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средство. Блокатор H</w:t>
                  </w:r>
                  <w:r>
                    <w:rPr>
                      <w:rFonts w:ascii="Arial" w:eastAsia="Arial" w:hAnsi="Arial" w:cs="Arial"/>
                      <w:color w:val="314A89"/>
                      <w:sz w:val="14"/>
                      <w:vertAlign w:val="subscript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-гистаминовых рецепторов, является конкурентным антагонистом гистамина. Препарат снижает повышенную проницаемость капилляров, связанную с аллергическими реакциями. При нанесении на кожу эмульсия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Фенистил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4"/>
                      <w:vertAlign w:val="superscript"/>
                    </w:rPr>
                    <w:t>®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уменьшает зуд и раздражение, вызванные кожно-аллерг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ическими реакциями, что обусловлено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антикининовым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и антихолинергическим действием препарата.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Фенистил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4"/>
                      <w:vertAlign w:val="superscript"/>
                    </w:rPr>
                    <w:t>®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эмульсия обладает также выраженным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местноанестезирующим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эффектом. </w:t>
                  </w:r>
                </w:p>
                <w:p w14:paraId="5D244792" w14:textId="77777777" w:rsidR="00D67262" w:rsidRDefault="00945922">
                  <w:pPr>
                    <w:spacing w:after="0" w:line="248" w:lineRule="auto"/>
                    <w:ind w:left="28" w:right="101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При местном </w:t>
                  </w:r>
                  <w:proofErr w:type="gram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применении  препарат</w:t>
                  </w:r>
                  <w:proofErr w:type="gram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быстро проникает в кожу и обеспечивает быстрое начало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действия– через несколько минут. Эмульсионная основа препарата обеспечивает охлаждающее, смягчающее и увлажняющее свойства препарата.  </w:t>
                  </w:r>
                </w:p>
                <w:p w14:paraId="53DA9D1B" w14:textId="77777777" w:rsidR="00D67262" w:rsidRDefault="00945922">
                  <w:pPr>
                    <w:spacing w:after="0"/>
                    <w:ind w:left="28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Фармакокинетика </w:t>
                  </w:r>
                </w:p>
                <w:p w14:paraId="04C9F253" w14:textId="77777777" w:rsidR="00D67262" w:rsidRDefault="00945922">
                  <w:pPr>
                    <w:spacing w:after="0"/>
                    <w:ind w:left="28" w:right="9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При местном применении хорошо проникает в кожу, системная биодоступность – около 10 %.</w:t>
                  </w:r>
                </w:p>
              </w:tc>
              <w:tc>
                <w:tcPr>
                  <w:tcW w:w="3487" w:type="dxa"/>
                  <w:tcBorders>
                    <w:top w:val="single" w:sz="2" w:space="0" w:color="902A7B"/>
                    <w:left w:val="nil"/>
                    <w:bottom w:val="single" w:sz="2" w:space="0" w:color="902A7B"/>
                    <w:right w:val="single" w:sz="2" w:space="0" w:color="902A7B"/>
                  </w:tcBorders>
                </w:tcPr>
                <w:p w14:paraId="526201A4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Показания к при</w:t>
                  </w: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менению</w:t>
                  </w:r>
                </w:p>
                <w:p w14:paraId="14E5BFDB" w14:textId="77777777" w:rsidR="00D67262" w:rsidRDefault="00945922">
                  <w:pPr>
                    <w:spacing w:after="0" w:line="247" w:lineRule="auto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Кожный зуд различного происхождения (кроме связанного с холестазом): зудящие дерматозы, экзема, крапивница, укусы насекомых, также солнечные ожоги, бытовые и производственные ожоги (легкой степени).</w:t>
                  </w:r>
                </w:p>
                <w:p w14:paraId="4CFDEEC7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Противопоказания</w:t>
                  </w:r>
                </w:p>
                <w:p w14:paraId="44BE274D" w14:textId="77777777" w:rsidR="00D67262" w:rsidRDefault="00945922">
                  <w:pPr>
                    <w:spacing w:after="0" w:line="247" w:lineRule="auto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Повышенная чувствительность к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ди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метиндену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и другим компонентам, входящим в состав препарата, </w:t>
                  </w:r>
                </w:p>
                <w:p w14:paraId="4DF69B19" w14:textId="77777777" w:rsidR="00D67262" w:rsidRDefault="00945922">
                  <w:pPr>
                    <w:spacing w:after="0" w:line="247" w:lineRule="auto"/>
                  </w:pP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закрытоугольная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глаукома, гиперплазия предстательной железы, детский возраст до 1 месяца, особенно недоношенные дети.</w:t>
                  </w:r>
                </w:p>
                <w:p w14:paraId="08A8FE07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С осторожностью</w:t>
                  </w:r>
                </w:p>
                <w:p w14:paraId="56261441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Беременность I триместр, период лактации.</w:t>
                  </w:r>
                </w:p>
                <w:p w14:paraId="0DE3E6EB" w14:textId="77777777" w:rsidR="00D67262" w:rsidRDefault="00945922">
                  <w:pPr>
                    <w:spacing w:after="0" w:line="247" w:lineRule="auto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Применение при бер</w:t>
                  </w: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еменности и в период грудного вскармливания</w:t>
                  </w:r>
                </w:p>
                <w:p w14:paraId="7B1E8F06" w14:textId="77777777" w:rsidR="00D67262" w:rsidRDefault="00945922">
                  <w:pPr>
                    <w:spacing w:after="0" w:line="248" w:lineRule="auto"/>
                    <w:ind w:right="39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Применение препарата в первые три месяца беременности возможно только после консультации с врачом. Во II и III триместрах беременности, а также в период лактации эмульсию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Фенистил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4"/>
                      <w:vertAlign w:val="superscript"/>
                    </w:rPr>
                    <w:t>®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не следует применять на обширны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х участках кожи, особенно при наличии явлений воспаления или кровоточивости. Кормящим матерям не следует наносить препарат на соски молочных желез. </w:t>
                  </w: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Способ применения и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дозы 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Применяют</w:t>
                  </w:r>
                  <w:proofErr w:type="gram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наружно. </w:t>
                  </w:r>
                </w:p>
                <w:p w14:paraId="5E61C839" w14:textId="77777777" w:rsidR="00D67262" w:rsidRDefault="00945922">
                  <w:pPr>
                    <w:spacing w:after="0" w:line="247" w:lineRule="auto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Эмульсию наносят от 2 до 4 раз в день на пораженные участки кожи. </w:t>
                  </w:r>
                </w:p>
                <w:p w14:paraId="684B1409" w14:textId="77777777" w:rsidR="00D67262" w:rsidRDefault="00945922">
                  <w:pPr>
                    <w:spacing w:after="0" w:line="247" w:lineRule="auto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У детей от 1 месяца до 2 лет препарат применяется после консультации с врачом.</w:t>
                  </w:r>
                </w:p>
                <w:p w14:paraId="234C9B9A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Побочное действие</w:t>
                  </w:r>
                </w:p>
                <w:p w14:paraId="4CFA1FDD" w14:textId="77777777" w:rsidR="00D67262" w:rsidRDefault="00945922">
                  <w:pPr>
                    <w:spacing w:after="0" w:line="247" w:lineRule="auto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Классификация частоты возникновения побочных реакций: очень часто (≥1/10); часто (≥1/100, </w:t>
                  </w:r>
                  <w:proofErr w:type="gram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&lt; 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1</w:t>
                  </w:r>
                  <w:proofErr w:type="gram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/10); нечасто </w:t>
                  </w:r>
                </w:p>
                <w:p w14:paraId="32A52E9D" w14:textId="77777777" w:rsidR="00D67262" w:rsidRDefault="00945922">
                  <w:pPr>
                    <w:spacing w:after="0" w:line="247" w:lineRule="auto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(≥ 1/1000, </w:t>
                  </w:r>
                  <w:proofErr w:type="gram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&lt; 1</w:t>
                  </w:r>
                  <w:proofErr w:type="gram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/100); редко (≥1/10000, &lt; 1/1000); очень редко (&lt; 1/10000), включая отдельные сообщения и реакции с неизвестной частотой (не может быть рассчитана на основании доступных данных).</w:t>
                  </w:r>
                </w:p>
                <w:p w14:paraId="05FA01E6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i/>
                      <w:color w:val="314A89"/>
                      <w:sz w:val="16"/>
                    </w:rPr>
                    <w:t>Нарушения со стороны кожи и подкожных тканей:</w:t>
                  </w:r>
                </w:p>
                <w:p w14:paraId="63278542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Н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ечасто: сухость, жжение кожи.</w:t>
                  </w:r>
                </w:p>
                <w:p w14:paraId="7E30115C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Очень редко (пострегистрационные данные): </w:t>
                  </w:r>
                </w:p>
                <w:p w14:paraId="1516F534" w14:textId="77777777" w:rsidR="00D67262" w:rsidRDefault="00945922">
                  <w:pPr>
                    <w:spacing w:after="0" w:line="247" w:lineRule="auto"/>
                    <w:ind w:right="92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аллергический дерматит, включая кожную сыпь, зуд. Если любые из указанных в инструкции побочных эффектов усугубляются, или Вы заметили любые другие побочные эффекты, не указанные в ин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струкции, сообщите об этом врачу.</w:t>
                  </w:r>
                </w:p>
                <w:p w14:paraId="2CC98C41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Передозировка </w:t>
                  </w:r>
                </w:p>
                <w:p w14:paraId="4B167493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При случайном проглатывании большого количества препарата могут возникать  симптомы, характерные для передозировки препаратов блокаторов H</w:t>
                  </w:r>
                  <w:r>
                    <w:rPr>
                      <w:rFonts w:ascii="Arial" w:eastAsia="Arial" w:hAnsi="Arial" w:cs="Arial"/>
                      <w:color w:val="314A89"/>
                      <w:sz w:val="14"/>
                      <w:vertAlign w:val="subscript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-гистаминовых рецепторов, в том числе угнетение функций центральной 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нервной системы, сонливость (главным образом у взрослых), стимуляция функций центральной нервной системы,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антимускариновые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эффекты (особенно у детей), включая повышенную возбудимость, атаксию, галлюцинации, тонико-клонические судороги,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мидриаз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, сухость во 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рту, «приливы» крови к лицу, задержку мочи и лихорадку. За этим может последовать падение артериального давления.</w:t>
                  </w:r>
                </w:p>
              </w:tc>
            </w:tr>
          </w:tbl>
          <w:p w14:paraId="3B5E0B50" w14:textId="77777777" w:rsidR="00D67262" w:rsidRDefault="00D67262"/>
        </w:tc>
      </w:tr>
    </w:tbl>
    <w:p w14:paraId="6208DAEF" w14:textId="77777777" w:rsidR="00D67262" w:rsidRDefault="00D67262" w:rsidP="00945922">
      <w:pPr>
        <w:spacing w:after="4602"/>
        <w:ind w:right="9899"/>
      </w:pPr>
    </w:p>
    <w:tbl>
      <w:tblPr>
        <w:tblStyle w:val="TableGrid"/>
        <w:tblW w:w="7824" w:type="dxa"/>
        <w:tblInd w:w="6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56"/>
        <w:gridCol w:w="568"/>
      </w:tblGrid>
      <w:tr w:rsidR="00D67262" w14:paraId="06727774" w14:textId="77777777">
        <w:trPr>
          <w:trHeight w:val="10602"/>
        </w:trP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14:paraId="08C3F2FF" w14:textId="77777777" w:rsidR="00D67262" w:rsidRDefault="00D67262">
            <w:pPr>
              <w:spacing w:after="0"/>
              <w:ind w:left="-2069" w:right="57"/>
            </w:pPr>
          </w:p>
          <w:tbl>
            <w:tblPr>
              <w:tblStyle w:val="TableGrid"/>
              <w:tblW w:w="7200" w:type="dxa"/>
              <w:tblInd w:w="0" w:type="dxa"/>
              <w:tblCellMar>
                <w:top w:w="28" w:type="dxa"/>
                <w:left w:w="0" w:type="dxa"/>
                <w:bottom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713"/>
              <w:gridCol w:w="3487"/>
            </w:tblGrid>
            <w:tr w:rsidR="00D67262" w14:paraId="3C8D645F" w14:textId="77777777">
              <w:trPr>
                <w:trHeight w:val="10602"/>
              </w:trPr>
              <w:tc>
                <w:tcPr>
                  <w:tcW w:w="3713" w:type="dxa"/>
                  <w:tcBorders>
                    <w:top w:val="single" w:sz="2" w:space="0" w:color="902A7B"/>
                    <w:left w:val="single" w:sz="2" w:space="0" w:color="902A7B"/>
                    <w:bottom w:val="single" w:sz="2" w:space="0" w:color="902A7B"/>
                    <w:right w:val="nil"/>
                  </w:tcBorders>
                </w:tcPr>
                <w:p w14:paraId="604DD0E4" w14:textId="77777777" w:rsidR="00D67262" w:rsidRDefault="00945922">
                  <w:pPr>
                    <w:spacing w:after="0"/>
                    <w:ind w:left="28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Лечение:</w:t>
                  </w:r>
                </w:p>
                <w:p w14:paraId="245393C5" w14:textId="77777777" w:rsidR="00D67262" w:rsidRDefault="00945922">
                  <w:pPr>
                    <w:spacing w:after="0" w:line="254" w:lineRule="auto"/>
                    <w:ind w:left="28" w:right="4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Специфический антидот неизвестен. Следует предпринять обычные меры неотложной помощи: при приеме внутрь - прием активированного угля, солевых слабительных; при необходимости, провести мероприятия по поддержанию функции сердечно-сосудистой и дыхательной сис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тем. </w:t>
                  </w:r>
                  <w:proofErr w:type="gram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Для  лечения</w:t>
                  </w:r>
                  <w:proofErr w:type="gram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артериальной гипотензии можно применять сосудосуживающие средства. </w:t>
                  </w:r>
                </w:p>
                <w:p w14:paraId="3558B759" w14:textId="77777777" w:rsidR="00D67262" w:rsidRDefault="00945922">
                  <w:pPr>
                    <w:spacing w:after="37" w:line="238" w:lineRule="auto"/>
                    <w:ind w:left="28" w:right="119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Не превышайте рекомендованную дозу эмульсии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Фенистил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4"/>
                      <w:vertAlign w:val="superscript"/>
                    </w:rPr>
                    <w:t>®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.</w:t>
                  </w:r>
                </w:p>
                <w:p w14:paraId="277E8F73" w14:textId="77777777" w:rsidR="00D67262" w:rsidRDefault="00945922">
                  <w:pPr>
                    <w:spacing w:after="0" w:line="254" w:lineRule="auto"/>
                    <w:ind w:left="28" w:right="145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При случайной передозировке, немедленно сообщите врачу.</w:t>
                  </w:r>
                </w:p>
                <w:p w14:paraId="3D51F882" w14:textId="77777777" w:rsidR="00D67262" w:rsidRDefault="00945922">
                  <w:pPr>
                    <w:spacing w:after="0" w:line="254" w:lineRule="auto"/>
                    <w:ind w:left="28" w:right="857"/>
                    <w:jc w:val="both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Взаимодействия с другими лекарственными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препаратами 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Не</w:t>
                  </w:r>
                  <w:proofErr w:type="gram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описаны.</w:t>
                  </w:r>
                </w:p>
                <w:p w14:paraId="0CB762E1" w14:textId="77777777" w:rsidR="00D67262" w:rsidRDefault="00945922">
                  <w:pPr>
                    <w:spacing w:after="0"/>
                    <w:ind w:left="28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Особые указания</w:t>
                  </w:r>
                </w:p>
                <w:p w14:paraId="7259086F" w14:textId="77777777" w:rsidR="00D67262" w:rsidRDefault="00945922">
                  <w:pPr>
                    <w:spacing w:after="0" w:line="254" w:lineRule="auto"/>
                    <w:ind w:left="28" w:right="223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У младенцев и детей младшего возраста не следует применять препарат на обширных участках кожи, особенно при наличии явлений воспаления или кровоточивости. При выраженном зуде или при поражении обширных участков кожи препарат мож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но применять только после консультации с врачом.</w:t>
                  </w:r>
                </w:p>
                <w:p w14:paraId="5CA57B17" w14:textId="77777777" w:rsidR="00D67262" w:rsidRDefault="00945922">
                  <w:pPr>
                    <w:spacing w:after="0" w:line="267" w:lineRule="auto"/>
                    <w:ind w:left="28" w:right="147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При применении эмульсии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Фенистил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4"/>
                      <w:vertAlign w:val="superscript"/>
                    </w:rPr>
                    <w:t>®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на обширных участках кожи следует избегать продолжительного воздействия солнечных лучей. </w:t>
                  </w:r>
                </w:p>
                <w:p w14:paraId="5370096E" w14:textId="77777777" w:rsidR="00D67262" w:rsidRDefault="00945922">
                  <w:pPr>
                    <w:spacing w:after="0" w:line="263" w:lineRule="auto"/>
                    <w:ind w:left="28" w:right="163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Если в период применения эмульсии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Фенистил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4"/>
                      <w:vertAlign w:val="superscript"/>
                    </w:rPr>
                    <w:t>®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выраженность симптомов заболевания не у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меньшается или, напротив, усиливается, необходимо обратиться к врачу.</w:t>
                  </w:r>
                </w:p>
                <w:p w14:paraId="0C26A644" w14:textId="77777777" w:rsidR="00D67262" w:rsidRDefault="00945922">
                  <w:pPr>
                    <w:spacing w:after="0"/>
                    <w:ind w:left="28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Неэффективен при зуде, связанном с холестазом.</w:t>
                  </w:r>
                </w:p>
                <w:p w14:paraId="41C5485C" w14:textId="77777777" w:rsidR="00D67262" w:rsidRDefault="00945922">
                  <w:pPr>
                    <w:spacing w:after="0" w:line="254" w:lineRule="auto"/>
                    <w:ind w:left="28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Препарат содержит пропиленгликоль,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бензалкония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хлорид,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бутилгидрокситолуол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которые могут вызвать местные аллергические реакции (контактный 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дерматит). </w:t>
                  </w:r>
                </w:p>
                <w:p w14:paraId="4875BA1A" w14:textId="77777777" w:rsidR="00D67262" w:rsidRDefault="00945922">
                  <w:pPr>
                    <w:spacing w:after="0" w:line="254" w:lineRule="auto"/>
                    <w:ind w:left="28" w:right="59"/>
                  </w:pP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Бутилгидрокситолуол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также может вызвать раздражение глаз и слизистых оболочек.</w:t>
                  </w:r>
                </w:p>
                <w:p w14:paraId="677158A0" w14:textId="77777777" w:rsidR="00D67262" w:rsidRDefault="00945922">
                  <w:pPr>
                    <w:spacing w:after="0"/>
                    <w:ind w:left="28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Влияние на способность управлять транспортными </w:t>
                  </w:r>
                </w:p>
                <w:p w14:paraId="0261E286" w14:textId="77777777" w:rsidR="00D67262" w:rsidRDefault="00945922">
                  <w:pPr>
                    <w:spacing w:after="0"/>
                    <w:ind w:left="28" w:right="1847"/>
                    <w:jc w:val="both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средствами,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механизмами 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Не</w:t>
                  </w:r>
                  <w:proofErr w:type="gram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влияет.</w:t>
                  </w:r>
                </w:p>
              </w:tc>
              <w:tc>
                <w:tcPr>
                  <w:tcW w:w="3487" w:type="dxa"/>
                  <w:tcBorders>
                    <w:top w:val="single" w:sz="2" w:space="0" w:color="902A7B"/>
                    <w:left w:val="nil"/>
                    <w:bottom w:val="single" w:sz="2" w:space="0" w:color="902A7B"/>
                    <w:right w:val="single" w:sz="2" w:space="0" w:color="902A7B"/>
                  </w:tcBorders>
                </w:tcPr>
                <w:p w14:paraId="003BCD7B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Форма выпуска</w:t>
                  </w:r>
                </w:p>
                <w:p w14:paraId="11468DE7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Эмульсия для наружного применения 0,1 %.</w:t>
                  </w:r>
                </w:p>
                <w:p w14:paraId="5ABE9374" w14:textId="77777777" w:rsidR="00D67262" w:rsidRDefault="00945922">
                  <w:pPr>
                    <w:spacing w:after="0" w:line="248" w:lineRule="auto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По 8 мл во флаконе из стекла молочного цвета с полипропиленовым шариковым аппликатором и крышкой. Флакон вместе с инструкцией по применению помещают в картонную пачку.</w:t>
                  </w:r>
                </w:p>
                <w:p w14:paraId="5C2BB017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Срок годности</w:t>
                  </w:r>
                </w:p>
                <w:p w14:paraId="130F523A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3 года. Не использовать после истечения срока годности.</w:t>
                  </w:r>
                </w:p>
                <w:p w14:paraId="4DD235D0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Условия хранения</w:t>
                  </w:r>
                </w:p>
                <w:p w14:paraId="146755FD" w14:textId="77777777" w:rsidR="00D67262" w:rsidRDefault="00945922">
                  <w:pPr>
                    <w:spacing w:after="0" w:line="248" w:lineRule="auto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При температуре не выше 30 °С. Хранить в недоступном для детей месте.</w:t>
                  </w:r>
                </w:p>
                <w:p w14:paraId="5B5A9430" w14:textId="77777777" w:rsidR="00D67262" w:rsidRDefault="00945922">
                  <w:pPr>
                    <w:spacing w:after="0" w:line="248" w:lineRule="auto"/>
                    <w:ind w:right="1657"/>
                    <w:jc w:val="both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Условия отпуска из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аптек 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Без</w:t>
                  </w:r>
                  <w:proofErr w:type="gram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рецепта.</w:t>
                  </w:r>
                </w:p>
                <w:p w14:paraId="3CF3E801" w14:textId="77777777" w:rsidR="00D67262" w:rsidRDefault="00945922">
                  <w:pPr>
                    <w:spacing w:after="0" w:line="248" w:lineRule="auto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Юридическое лицо, на имя которого выдано регистрационное удостоверение, и организация, принимающая претензии на территории Российской </w:t>
                  </w:r>
                </w:p>
                <w:p w14:paraId="74183DC9" w14:textId="77777777" w:rsidR="00D67262" w:rsidRDefault="00945922">
                  <w:pPr>
                    <w:spacing w:after="0" w:line="249" w:lineRule="auto"/>
                    <w:ind w:right="520"/>
                    <w:jc w:val="both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Федерации: 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АО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“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ГлаксоСмитКляйн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Хелскер</w:t>
                  </w:r>
                  <w:proofErr w:type="spellEnd"/>
                  <w:proofErr w:type="gram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”,  123317</w:t>
                  </w:r>
                  <w:proofErr w:type="gram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, г. Москва, Пресненская набережная, д. 10. Тел. +7 (495) 777 9850; </w:t>
                  </w:r>
                </w:p>
                <w:p w14:paraId="61073689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Факс +7 (495) 777 9851.</w:t>
                  </w:r>
                </w:p>
                <w:p w14:paraId="6CC422F9" w14:textId="77777777" w:rsidR="00D67262" w:rsidRDefault="00945922">
                  <w:pPr>
                    <w:spacing w:after="20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Телефон бесплатной “Горячей линии”:</w:t>
                  </w:r>
                </w:p>
                <w:p w14:paraId="3B7E984D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8 800 2000 775.</w:t>
                  </w:r>
                </w:p>
                <w:p w14:paraId="02A5A6E8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E-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mail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rus.info@gsk.com.</w:t>
                  </w:r>
                </w:p>
                <w:p w14:paraId="2800B919" w14:textId="77777777" w:rsidR="00D67262" w:rsidRDefault="00945922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314A89"/>
                      <w:sz w:val="16"/>
                    </w:rPr>
                    <w:t>Производитель:</w:t>
                  </w:r>
                </w:p>
                <w:p w14:paraId="3EC9AB02" w14:textId="77777777" w:rsidR="00D67262" w:rsidRDefault="00945922">
                  <w:pPr>
                    <w:spacing w:after="0"/>
                  </w:pP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Новартис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Консьюмер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Хелс</w:t>
                  </w:r>
                  <w:proofErr w:type="spellEnd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 xml:space="preserve"> СА, Швейцария/ </w:t>
                  </w:r>
                </w:p>
                <w:p w14:paraId="59B23BAC" w14:textId="77777777" w:rsidR="00D67262" w:rsidRPr="00945922" w:rsidRDefault="00945922">
                  <w:pPr>
                    <w:spacing w:after="0" w:line="248" w:lineRule="auto"/>
                    <w:rPr>
                      <w:lang w:val="en-US"/>
                    </w:rPr>
                  </w:pPr>
                  <w:proofErr w:type="gramStart"/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>Novartis Consumer Health SA,</w:t>
                  </w:r>
                  <w:proofErr w:type="gramEnd"/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 xml:space="preserve"> Route de </w:t>
                  </w:r>
                  <w:proofErr w:type="spellStart"/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>l’Etraz</w:t>
                  </w:r>
                  <w:proofErr w:type="spellEnd"/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 xml:space="preserve">, 1260 </w:t>
                  </w:r>
                  <w:proofErr w:type="spellStart"/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>Nyon</w:t>
                  </w:r>
                  <w:proofErr w:type="spellEnd"/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>, Switzerland.</w:t>
                  </w:r>
                </w:p>
                <w:p w14:paraId="25A82E6C" w14:textId="77777777" w:rsidR="00D67262" w:rsidRPr="00945922" w:rsidRDefault="00945922">
                  <w:pPr>
                    <w:spacing w:after="660" w:line="248" w:lineRule="auto"/>
                    <w:rPr>
                      <w:lang w:val="en-US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Лихтенхелд</w:t>
                  </w:r>
                  <w:proofErr w:type="spellEnd"/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ГмбХ</w:t>
                  </w:r>
                  <w:proofErr w:type="spellEnd"/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color w:val="314A89"/>
                      <w:sz w:val="16"/>
                    </w:rPr>
                    <w:t>Германия</w:t>
                  </w:r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 xml:space="preserve">/ </w:t>
                  </w:r>
                  <w:proofErr w:type="spellStart"/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>Lichtenheldt</w:t>
                  </w:r>
                  <w:proofErr w:type="spellEnd"/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 xml:space="preserve"> GmbH, </w:t>
                  </w:r>
                  <w:proofErr w:type="spellStart"/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>Werk</w:t>
                  </w:r>
                  <w:proofErr w:type="spellEnd"/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 xml:space="preserve"> II-Justus-Liebig-</w:t>
                  </w:r>
                  <w:proofErr w:type="spellStart"/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>Weg</w:t>
                  </w:r>
                  <w:proofErr w:type="spellEnd"/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 xml:space="preserve"> 1, 23812, </w:t>
                  </w:r>
                  <w:proofErr w:type="spellStart"/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>Wahlstedt</w:t>
                  </w:r>
                  <w:proofErr w:type="spellEnd"/>
                  <w:r w:rsidRPr="00945922">
                    <w:rPr>
                      <w:rFonts w:ascii="Arial" w:eastAsia="Arial" w:hAnsi="Arial" w:cs="Arial"/>
                      <w:color w:val="314A89"/>
                      <w:sz w:val="16"/>
                      <w:lang w:val="en-US"/>
                    </w:rPr>
                    <w:t>, Germany.</w:t>
                  </w:r>
                </w:p>
                <w:p w14:paraId="40099F27" w14:textId="77777777" w:rsidR="00D67262" w:rsidRDefault="00945922">
                  <w:pPr>
                    <w:spacing w:after="281"/>
                    <w:ind w:left="11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FC8FF65" wp14:editId="0CFAA621">
                            <wp:extent cx="346478" cy="266904"/>
                            <wp:effectExtent l="0" t="0" r="0" b="0"/>
                            <wp:docPr id="3069" name="Group 306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6478" cy="266904"/>
                                      <a:chOff x="0" y="0"/>
                                      <a:chExt cx="346478" cy="266904"/>
                                    </a:xfrm>
                                  </wpg:grpSpPr>
                                  <wps:wsp>
                                    <wps:cNvPr id="291" name="Shape 291"/>
                                    <wps:cNvSpPr/>
                                    <wps:spPr>
                                      <a:xfrm>
                                        <a:off x="0" y="0"/>
                                        <a:ext cx="303556" cy="26690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03556" h="266904">
                                            <a:moveTo>
                                              <a:pt x="162027" y="0"/>
                                            </a:moveTo>
                                            <a:cubicBezTo>
                                              <a:pt x="240068" y="0"/>
                                              <a:pt x="286842" y="31255"/>
                                              <a:pt x="303556" y="39891"/>
                                            </a:cubicBezTo>
                                            <a:lnTo>
                                              <a:pt x="302768" y="96393"/>
                                            </a:lnTo>
                                            <a:cubicBezTo>
                                              <a:pt x="295821" y="91377"/>
                                              <a:pt x="264465" y="68962"/>
                                              <a:pt x="215608" y="68962"/>
                                            </a:cubicBezTo>
                                            <a:cubicBezTo>
                                              <a:pt x="164312" y="68962"/>
                                              <a:pt x="145504" y="111023"/>
                                              <a:pt x="145504" y="135382"/>
                                            </a:cubicBezTo>
                                            <a:cubicBezTo>
                                              <a:pt x="145504" y="174930"/>
                                              <a:pt x="177355" y="203505"/>
                                              <a:pt x="215163" y="203505"/>
                                            </a:cubicBezTo>
                                            <a:cubicBezTo>
                                              <a:pt x="262382" y="203505"/>
                                              <a:pt x="290068" y="186131"/>
                                              <a:pt x="298602" y="180684"/>
                                            </a:cubicBezTo>
                                            <a:lnTo>
                                              <a:pt x="297752" y="235001"/>
                                            </a:lnTo>
                                            <a:cubicBezTo>
                                              <a:pt x="278854" y="243484"/>
                                              <a:pt x="240512" y="266904"/>
                                              <a:pt x="169913" y="266904"/>
                                            </a:cubicBezTo>
                                            <a:cubicBezTo>
                                              <a:pt x="85573" y="266904"/>
                                              <a:pt x="0" y="225971"/>
                                              <a:pt x="0" y="129782"/>
                                            </a:cubicBezTo>
                                            <a:cubicBezTo>
                                              <a:pt x="0" y="86424"/>
                                              <a:pt x="31153" y="0"/>
                                              <a:pt x="16202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314A8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92" name="Shape 292"/>
                                    <wps:cNvSpPr/>
                                    <wps:spPr>
                                      <a:xfrm>
                                        <a:off x="35274" y="56759"/>
                                        <a:ext cx="98476" cy="14886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8476" h="148869">
                                            <a:moveTo>
                                              <a:pt x="49213" y="0"/>
                                            </a:moveTo>
                                            <a:cubicBezTo>
                                              <a:pt x="76454" y="0"/>
                                              <a:pt x="98476" y="21730"/>
                                              <a:pt x="98476" y="48514"/>
                                            </a:cubicBezTo>
                                            <a:cubicBezTo>
                                              <a:pt x="98476" y="75299"/>
                                              <a:pt x="76454" y="97028"/>
                                              <a:pt x="49213" y="97028"/>
                                            </a:cubicBezTo>
                                            <a:cubicBezTo>
                                              <a:pt x="45593" y="97028"/>
                                              <a:pt x="42075" y="96634"/>
                                              <a:pt x="38697" y="95885"/>
                                            </a:cubicBezTo>
                                            <a:lnTo>
                                              <a:pt x="38697" y="67221"/>
                                            </a:lnTo>
                                            <a:cubicBezTo>
                                              <a:pt x="41770" y="68949"/>
                                              <a:pt x="45390" y="69939"/>
                                              <a:pt x="49213" y="69939"/>
                                            </a:cubicBezTo>
                                            <a:cubicBezTo>
                                              <a:pt x="61214" y="69939"/>
                                              <a:pt x="70993" y="60325"/>
                                              <a:pt x="70993" y="48514"/>
                                            </a:cubicBezTo>
                                            <a:cubicBezTo>
                                              <a:pt x="70993" y="36703"/>
                                              <a:pt x="61214" y="27089"/>
                                              <a:pt x="49213" y="27089"/>
                                            </a:cubicBezTo>
                                            <a:cubicBezTo>
                                              <a:pt x="37262" y="27089"/>
                                              <a:pt x="27483" y="36703"/>
                                              <a:pt x="27483" y="48514"/>
                                            </a:cubicBezTo>
                                            <a:lnTo>
                                              <a:pt x="27483" y="148869"/>
                                            </a:lnTo>
                                            <a:cubicBezTo>
                                              <a:pt x="14084" y="148869"/>
                                              <a:pt x="0" y="138608"/>
                                              <a:pt x="0" y="131115"/>
                                            </a:cubicBezTo>
                                            <a:lnTo>
                                              <a:pt x="0" y="48514"/>
                                            </a:lnTo>
                                            <a:cubicBezTo>
                                              <a:pt x="0" y="21730"/>
                                              <a:pt x="22022" y="0"/>
                                              <a:pt x="49213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EF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93" name="Shape 293"/>
                                    <wps:cNvSpPr/>
                                    <wps:spPr>
                                      <a:xfrm>
                                        <a:off x="256333" y="105224"/>
                                        <a:ext cx="90145" cy="6543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0145" h="6543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0145" y="0"/>
                                            </a:lnTo>
                                            <a:lnTo>
                                              <a:pt x="90145" y="25743"/>
                                            </a:lnTo>
                                            <a:lnTo>
                                              <a:pt x="68212" y="25743"/>
                                            </a:lnTo>
                                            <a:lnTo>
                                              <a:pt x="68212" y="65430"/>
                                            </a:lnTo>
                                            <a:lnTo>
                                              <a:pt x="21971" y="65430"/>
                                            </a:lnTo>
                                            <a:lnTo>
                                              <a:pt x="21971" y="25743"/>
                                            </a:lnTo>
                                            <a:lnTo>
                                              <a:pt x="0" y="25743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314A8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3069" style="width:27.2817pt;height:21.0161pt;mso-position-horizontal-relative:char;mso-position-vertical-relative:line" coordsize="3464,2669">
                            <v:shape id="Shape 291" style="position:absolute;width:3035;height:2669;left:0;top:0;" coordsize="303556,266904" path="m162027,0c240068,0,286842,31255,303556,39891l302768,96393c295821,91377,264465,68962,215608,68962c164312,68962,145504,111023,145504,135382c145504,174930,177355,203505,215163,203505c262382,203505,290068,186131,298602,180684l297752,235001c278854,243484,240512,266904,169913,266904c85573,266904,0,225971,0,129782c0,86424,31153,0,162027,0x">
                              <v:stroke weight="0pt" endcap="flat" joinstyle="miter" miterlimit="10" on="false" color="#000000" opacity="0"/>
                              <v:fill on="true" color="#314a89"/>
                            </v:shape>
                            <v:shape id="Shape 292" style="position:absolute;width:984;height:1488;left:352;top:567;" coordsize="98476,148869" path="m49213,0c76454,0,98476,21730,98476,48514c98476,75299,76454,97028,49213,97028c45593,97028,42075,96634,38697,95885l38697,67221c41770,68949,45390,69939,49213,69939c61214,69939,70993,60325,70993,48514c70993,36703,61214,27089,49213,27089c37262,27089,27483,36703,27483,48514l27483,148869c14084,148869,0,138608,0,131115l0,48514c0,21730,22022,0,49213,0x">
                              <v:stroke weight="0pt" endcap="flat" joinstyle="miter" miterlimit="10" on="false" color="#000000" opacity="0"/>
                              <v:fill on="true" color="#fffefd"/>
                            </v:shape>
                            <v:shape id="Shape 293" style="position:absolute;width:901;height:654;left:2563;top:1052;" coordsize="90145,65430" path="m0,0l90145,0l90145,25743l68212,25743l68212,65430l21971,65430l21971,25743l0,25743l0,0x">
                              <v:stroke weight="0pt" endcap="flat" joinstyle="miter" miterlimit="10" on="false" color="#000000" opacity="0"/>
                              <v:fill on="true" color="#314a89"/>
                            </v:shape>
                          </v:group>
                        </w:pict>
                      </mc:Fallback>
                    </mc:AlternateContent>
                  </w:r>
                </w:p>
                <w:p w14:paraId="4C2B84AB" w14:textId="77777777" w:rsidR="00D67262" w:rsidRDefault="00945922">
                  <w:pPr>
                    <w:tabs>
                      <w:tab w:val="center" w:pos="500"/>
                      <w:tab w:val="center" w:pos="3309"/>
                    </w:tabs>
                    <w:spacing w:after="0"/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color w:val="314A89"/>
                      <w:sz w:val="12"/>
                    </w:rPr>
                    <w:t>RU 938968 - RU 152332</w:t>
                  </w:r>
                  <w:r>
                    <w:rPr>
                      <w:rFonts w:ascii="Arial" w:eastAsia="Arial" w:hAnsi="Arial" w:cs="Arial"/>
                      <w:color w:val="314A89"/>
                      <w:sz w:val="12"/>
                    </w:rPr>
                    <w:tab/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6C3EAC7" wp14:editId="25127CE8">
                            <wp:extent cx="189802" cy="163259"/>
                            <wp:effectExtent l="0" t="0" r="0" b="0"/>
                            <wp:docPr id="3059" name="Group 30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89802" cy="163259"/>
                                      <a:chOff x="0" y="0"/>
                                      <a:chExt cx="189802" cy="163259"/>
                                    </a:xfrm>
                                  </wpg:grpSpPr>
                                  <wps:wsp>
                                    <wps:cNvPr id="285" name="Shape 285"/>
                                    <wps:cNvSpPr/>
                                    <wps:spPr>
                                      <a:xfrm>
                                        <a:off x="0" y="0"/>
                                        <a:ext cx="189802" cy="16325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9802" h="163259">
                                            <a:moveTo>
                                              <a:pt x="118872" y="0"/>
                                            </a:moveTo>
                                            <a:cubicBezTo>
                                              <a:pt x="170549" y="0"/>
                                              <a:pt x="189802" y="17679"/>
                                              <a:pt x="189802" y="44996"/>
                                            </a:cubicBezTo>
                                            <a:cubicBezTo>
                                              <a:pt x="189802" y="81471"/>
                                              <a:pt x="154077" y="128422"/>
                                              <a:pt x="125921" y="149365"/>
                                            </a:cubicBezTo>
                                            <a:cubicBezTo>
                                              <a:pt x="114122" y="158027"/>
                                              <a:pt x="101498" y="163259"/>
                                              <a:pt x="86766" y="163259"/>
                                            </a:cubicBezTo>
                                            <a:cubicBezTo>
                                              <a:pt x="41199" y="163259"/>
                                              <a:pt x="0" y="109665"/>
                                              <a:pt x="0" y="68504"/>
                                            </a:cubicBezTo>
                                            <a:cubicBezTo>
                                              <a:pt x="0" y="7951"/>
                                              <a:pt x="81191" y="0"/>
                                              <a:pt x="11887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314A8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86" name="Shape 286"/>
                                    <wps:cNvSpPr/>
                                    <wps:spPr>
                                      <a:xfrm>
                                        <a:off x="72224" y="47565"/>
                                        <a:ext cx="37554" cy="5516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7554" h="55169">
                                            <a:moveTo>
                                              <a:pt x="19863" y="0"/>
                                            </a:moveTo>
                                            <a:cubicBezTo>
                                              <a:pt x="24892" y="0"/>
                                              <a:pt x="29756" y="1232"/>
                                              <a:pt x="33909" y="3556"/>
                                            </a:cubicBezTo>
                                            <a:lnTo>
                                              <a:pt x="34036" y="3620"/>
                                            </a:lnTo>
                                            <a:lnTo>
                                              <a:pt x="34036" y="11824"/>
                                            </a:lnTo>
                                            <a:lnTo>
                                              <a:pt x="33630" y="11506"/>
                                            </a:lnTo>
                                            <a:cubicBezTo>
                                              <a:pt x="29515" y="8242"/>
                                              <a:pt x="24689" y="6528"/>
                                              <a:pt x="19698" y="6528"/>
                                            </a:cubicBezTo>
                                            <a:cubicBezTo>
                                              <a:pt x="15240" y="6528"/>
                                              <a:pt x="10046" y="8179"/>
                                              <a:pt x="10046" y="12827"/>
                                            </a:cubicBezTo>
                                            <a:cubicBezTo>
                                              <a:pt x="10046" y="17882"/>
                                              <a:pt x="16053" y="20879"/>
                                              <a:pt x="22403" y="24054"/>
                                            </a:cubicBezTo>
                                            <a:lnTo>
                                              <a:pt x="22987" y="24346"/>
                                            </a:lnTo>
                                            <a:cubicBezTo>
                                              <a:pt x="29134" y="27419"/>
                                              <a:pt x="37554" y="31648"/>
                                              <a:pt x="37554" y="39815"/>
                                            </a:cubicBezTo>
                                            <a:cubicBezTo>
                                              <a:pt x="37554" y="51143"/>
                                              <a:pt x="26302" y="55169"/>
                                              <a:pt x="16688" y="55169"/>
                                            </a:cubicBezTo>
                                            <a:cubicBezTo>
                                              <a:pt x="11062" y="55169"/>
                                              <a:pt x="5804" y="54090"/>
                                              <a:pt x="152" y="51791"/>
                                            </a:cubicBezTo>
                                            <a:lnTo>
                                              <a:pt x="0" y="51727"/>
                                            </a:lnTo>
                                            <a:lnTo>
                                              <a:pt x="0" y="43434"/>
                                            </a:lnTo>
                                            <a:lnTo>
                                              <a:pt x="356" y="43638"/>
                                            </a:lnTo>
                                            <a:cubicBezTo>
                                              <a:pt x="5575" y="46469"/>
                                              <a:pt x="12421" y="48451"/>
                                              <a:pt x="17005" y="48451"/>
                                            </a:cubicBezTo>
                                            <a:cubicBezTo>
                                              <a:pt x="25540" y="48451"/>
                                              <a:pt x="27331" y="44945"/>
                                              <a:pt x="27331" y="42011"/>
                                            </a:cubicBezTo>
                                            <a:cubicBezTo>
                                              <a:pt x="27331" y="36716"/>
                                              <a:pt x="21882" y="34137"/>
                                              <a:pt x="15558" y="31153"/>
                                            </a:cubicBezTo>
                                            <a:lnTo>
                                              <a:pt x="15227" y="30988"/>
                                            </a:lnTo>
                                            <a:cubicBezTo>
                                              <a:pt x="8318" y="27711"/>
                                              <a:pt x="495" y="23991"/>
                                              <a:pt x="495" y="15177"/>
                                            </a:cubicBezTo>
                                            <a:cubicBezTo>
                                              <a:pt x="495" y="4750"/>
                                              <a:pt x="10528" y="0"/>
                                              <a:pt x="19863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EF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87" name="Shape 287"/>
                                    <wps:cNvSpPr/>
                                    <wps:spPr>
                                      <a:xfrm>
                                        <a:off x="112825" y="24846"/>
                                        <a:ext cx="54051" cy="772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4051" h="77216">
                                            <a:moveTo>
                                              <a:pt x="12256" y="0"/>
                                            </a:moveTo>
                                            <a:lnTo>
                                              <a:pt x="12256" y="44703"/>
                                            </a:lnTo>
                                            <a:lnTo>
                                              <a:pt x="27102" y="30835"/>
                                            </a:lnTo>
                                            <a:cubicBezTo>
                                              <a:pt x="27127" y="30797"/>
                                              <a:pt x="30137" y="28118"/>
                                              <a:pt x="32779" y="24664"/>
                                            </a:cubicBezTo>
                                            <a:lnTo>
                                              <a:pt x="32855" y="24561"/>
                                            </a:lnTo>
                                            <a:lnTo>
                                              <a:pt x="48209" y="24561"/>
                                            </a:lnTo>
                                            <a:lnTo>
                                              <a:pt x="46279" y="25044"/>
                                            </a:lnTo>
                                            <a:cubicBezTo>
                                              <a:pt x="44222" y="25565"/>
                                              <a:pt x="40437" y="28422"/>
                                              <a:pt x="34989" y="33541"/>
                                            </a:cubicBezTo>
                                            <a:lnTo>
                                              <a:pt x="20892" y="46799"/>
                                            </a:lnTo>
                                            <a:cubicBezTo>
                                              <a:pt x="22111" y="48272"/>
                                              <a:pt x="30721" y="58648"/>
                                              <a:pt x="38126" y="66827"/>
                                            </a:cubicBezTo>
                                            <a:cubicBezTo>
                                              <a:pt x="44133" y="73317"/>
                                              <a:pt x="47955" y="74193"/>
                                              <a:pt x="50914" y="74193"/>
                                            </a:cubicBezTo>
                                            <a:cubicBezTo>
                                              <a:pt x="51410" y="74193"/>
                                              <a:pt x="52070" y="74028"/>
                                              <a:pt x="52515" y="73876"/>
                                            </a:cubicBezTo>
                                            <a:lnTo>
                                              <a:pt x="54051" y="73330"/>
                                            </a:lnTo>
                                            <a:lnTo>
                                              <a:pt x="52743" y="74308"/>
                                            </a:lnTo>
                                            <a:cubicBezTo>
                                              <a:pt x="50203" y="76174"/>
                                              <a:pt x="46520" y="77216"/>
                                              <a:pt x="42367" y="77216"/>
                                            </a:cubicBezTo>
                                            <a:cubicBezTo>
                                              <a:pt x="37211" y="77216"/>
                                              <a:pt x="32830" y="74511"/>
                                              <a:pt x="27255" y="67907"/>
                                            </a:cubicBezTo>
                                            <a:cubicBezTo>
                                              <a:pt x="19965" y="59182"/>
                                              <a:pt x="13894" y="51930"/>
                                              <a:pt x="12256" y="49974"/>
                                            </a:cubicBezTo>
                                            <a:lnTo>
                                              <a:pt x="12256" y="62725"/>
                                            </a:lnTo>
                                            <a:cubicBezTo>
                                              <a:pt x="12256" y="72250"/>
                                              <a:pt x="12776" y="73622"/>
                                              <a:pt x="13576" y="75705"/>
                                            </a:cubicBezTo>
                                            <a:lnTo>
                                              <a:pt x="13703" y="76035"/>
                                            </a:lnTo>
                                            <a:lnTo>
                                              <a:pt x="584" y="76035"/>
                                            </a:lnTo>
                                            <a:lnTo>
                                              <a:pt x="800" y="75438"/>
                                            </a:lnTo>
                                            <a:cubicBezTo>
                                              <a:pt x="1727" y="72974"/>
                                              <a:pt x="2197" y="71742"/>
                                              <a:pt x="2197" y="62725"/>
                                            </a:cubicBezTo>
                                            <a:lnTo>
                                              <a:pt x="2197" y="16256"/>
                                            </a:lnTo>
                                            <a:cubicBezTo>
                                              <a:pt x="2197" y="8763"/>
                                              <a:pt x="1677" y="5423"/>
                                              <a:pt x="229" y="3480"/>
                                            </a:cubicBezTo>
                                            <a:lnTo>
                                              <a:pt x="0" y="3187"/>
                                            </a:lnTo>
                                            <a:lnTo>
                                              <a:pt x="1225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EF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88" name="Shape 288"/>
                                    <wps:cNvSpPr/>
                                    <wps:spPr>
                                      <a:xfrm>
                                        <a:off x="20827" y="47569"/>
                                        <a:ext cx="25815" cy="7694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5815" h="76949">
                                            <a:moveTo>
                                              <a:pt x="21526" y="0"/>
                                            </a:moveTo>
                                            <a:lnTo>
                                              <a:pt x="25815" y="712"/>
                                            </a:lnTo>
                                            <a:lnTo>
                                              <a:pt x="25815" y="8110"/>
                                            </a:lnTo>
                                            <a:lnTo>
                                              <a:pt x="20713" y="6020"/>
                                            </a:lnTo>
                                            <a:cubicBezTo>
                                              <a:pt x="14008" y="6020"/>
                                              <a:pt x="9677" y="10464"/>
                                              <a:pt x="9677" y="17335"/>
                                            </a:cubicBezTo>
                                            <a:cubicBezTo>
                                              <a:pt x="9677" y="25540"/>
                                              <a:pt x="14567" y="30848"/>
                                              <a:pt x="22136" y="30848"/>
                                            </a:cubicBezTo>
                                            <a:lnTo>
                                              <a:pt x="25815" y="29416"/>
                                            </a:lnTo>
                                            <a:lnTo>
                                              <a:pt x="25815" y="35403"/>
                                            </a:lnTo>
                                            <a:lnTo>
                                              <a:pt x="21844" y="36702"/>
                                            </a:lnTo>
                                            <a:cubicBezTo>
                                              <a:pt x="20536" y="36702"/>
                                              <a:pt x="19355" y="36639"/>
                                              <a:pt x="18110" y="36499"/>
                                            </a:cubicBezTo>
                                            <a:cubicBezTo>
                                              <a:pt x="16827" y="36754"/>
                                              <a:pt x="15646" y="37299"/>
                                              <a:pt x="14694" y="38087"/>
                                            </a:cubicBezTo>
                                            <a:cubicBezTo>
                                              <a:pt x="13424" y="39115"/>
                                              <a:pt x="12700" y="40474"/>
                                              <a:pt x="12700" y="41833"/>
                                            </a:cubicBezTo>
                                            <a:cubicBezTo>
                                              <a:pt x="12700" y="43904"/>
                                              <a:pt x="13767" y="45364"/>
                                              <a:pt x="19012" y="45783"/>
                                            </a:cubicBezTo>
                                            <a:cubicBezTo>
                                              <a:pt x="20917" y="45935"/>
                                              <a:pt x="22695" y="46062"/>
                                              <a:pt x="24371" y="46177"/>
                                            </a:cubicBezTo>
                                            <a:lnTo>
                                              <a:pt x="25815" y="46406"/>
                                            </a:lnTo>
                                            <a:lnTo>
                                              <a:pt x="25815" y="54998"/>
                                            </a:lnTo>
                                            <a:lnTo>
                                              <a:pt x="18897" y="54533"/>
                                            </a:lnTo>
                                            <a:cubicBezTo>
                                              <a:pt x="17996" y="54445"/>
                                              <a:pt x="17119" y="54368"/>
                                              <a:pt x="16180" y="54292"/>
                                            </a:cubicBezTo>
                                            <a:cubicBezTo>
                                              <a:pt x="11531" y="56870"/>
                                              <a:pt x="9411" y="59918"/>
                                              <a:pt x="10173" y="62890"/>
                                            </a:cubicBezTo>
                                            <a:cubicBezTo>
                                              <a:pt x="10719" y="65023"/>
                                              <a:pt x="12693" y="66897"/>
                                              <a:pt x="15523" y="68237"/>
                                            </a:cubicBezTo>
                                            <a:lnTo>
                                              <a:pt x="25815" y="70346"/>
                                            </a:lnTo>
                                            <a:lnTo>
                                              <a:pt x="25815" y="76347"/>
                                            </a:lnTo>
                                            <a:lnTo>
                                              <a:pt x="22199" y="76949"/>
                                            </a:lnTo>
                                            <a:cubicBezTo>
                                              <a:pt x="13093" y="76936"/>
                                              <a:pt x="5626" y="74257"/>
                                              <a:pt x="2222" y="69773"/>
                                            </a:cubicBezTo>
                                            <a:cubicBezTo>
                                              <a:pt x="546" y="67563"/>
                                              <a:pt x="0" y="65303"/>
                                              <a:pt x="584" y="63067"/>
                                            </a:cubicBezTo>
                                            <a:cubicBezTo>
                                              <a:pt x="1486" y="59588"/>
                                              <a:pt x="5283" y="56121"/>
                                              <a:pt x="11049" y="53492"/>
                                            </a:cubicBezTo>
                                            <a:cubicBezTo>
                                              <a:pt x="6528" y="52044"/>
                                              <a:pt x="3645" y="48513"/>
                                              <a:pt x="3645" y="44348"/>
                                            </a:cubicBezTo>
                                            <a:cubicBezTo>
                                              <a:pt x="3645" y="40487"/>
                                              <a:pt x="6185" y="37198"/>
                                              <a:pt x="10998" y="34810"/>
                                            </a:cubicBezTo>
                                            <a:cubicBezTo>
                                              <a:pt x="4407" y="32105"/>
                                              <a:pt x="12" y="25705"/>
                                              <a:pt x="12" y="18720"/>
                                            </a:cubicBezTo>
                                            <a:cubicBezTo>
                                              <a:pt x="12" y="7696"/>
                                              <a:pt x="8865" y="0"/>
                                              <a:pt x="21526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EF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89" name="Shape 289"/>
                                    <wps:cNvSpPr/>
                                    <wps:spPr>
                                      <a:xfrm>
                                        <a:off x="46642" y="93975"/>
                                        <a:ext cx="23893" cy="29941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3893" h="29941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6997" y="2692"/>
                                            </a:lnTo>
                                            <a:cubicBezTo>
                                              <a:pt x="20057" y="4102"/>
                                              <a:pt x="22458" y="7099"/>
                                              <a:pt x="23270" y="10528"/>
                                            </a:cubicBezTo>
                                            <a:cubicBezTo>
                                              <a:pt x="23893" y="13170"/>
                                              <a:pt x="23867" y="17284"/>
                                              <a:pt x="20210" y="21869"/>
                                            </a:cubicBezTo>
                                            <a:cubicBezTo>
                                              <a:pt x="18101" y="24504"/>
                                              <a:pt x="14711" y="26673"/>
                                              <a:pt x="10564" y="28183"/>
                                            </a:cubicBezTo>
                                            <a:lnTo>
                                              <a:pt x="0" y="29941"/>
                                            </a:lnTo>
                                            <a:lnTo>
                                              <a:pt x="0" y="23940"/>
                                            </a:lnTo>
                                            <a:lnTo>
                                              <a:pt x="182" y="23978"/>
                                            </a:lnTo>
                                            <a:cubicBezTo>
                                              <a:pt x="1261" y="23978"/>
                                              <a:pt x="2366" y="23914"/>
                                              <a:pt x="3471" y="23799"/>
                                            </a:cubicBezTo>
                                            <a:cubicBezTo>
                                              <a:pt x="8996" y="23202"/>
                                              <a:pt x="13021" y="21424"/>
                                              <a:pt x="14812" y="18770"/>
                                            </a:cubicBezTo>
                                            <a:cubicBezTo>
                                              <a:pt x="15777" y="17348"/>
                                              <a:pt x="16031" y="15735"/>
                                              <a:pt x="15574" y="14122"/>
                                            </a:cubicBezTo>
                                            <a:cubicBezTo>
                                              <a:pt x="14965" y="12014"/>
                                              <a:pt x="12843" y="9144"/>
                                              <a:pt x="1388" y="8686"/>
                                            </a:cubicBezTo>
                                            <a:lnTo>
                                              <a:pt x="0" y="8592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EF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90" name="Shape 290"/>
                                    <wps:cNvSpPr/>
                                    <wps:spPr>
                                      <a:xfrm>
                                        <a:off x="46642" y="48281"/>
                                        <a:ext cx="22432" cy="3469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2432" h="3469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817" y="799"/>
                                            </a:lnTo>
                                            <a:cubicBezTo>
                                              <a:pt x="7611" y="1587"/>
                                              <a:pt x="9999" y="1968"/>
                                              <a:pt x="12297" y="1968"/>
                                            </a:cubicBezTo>
                                            <a:cubicBezTo>
                                              <a:pt x="14977" y="1968"/>
                                              <a:pt x="18927" y="1866"/>
                                              <a:pt x="22127" y="964"/>
                                            </a:cubicBezTo>
                                            <a:lnTo>
                                              <a:pt x="22432" y="876"/>
                                            </a:lnTo>
                                            <a:lnTo>
                                              <a:pt x="22432" y="8216"/>
                                            </a:lnTo>
                                            <a:lnTo>
                                              <a:pt x="22140" y="8165"/>
                                            </a:lnTo>
                                            <a:cubicBezTo>
                                              <a:pt x="20565" y="7835"/>
                                              <a:pt x="15727" y="7531"/>
                                              <a:pt x="12831" y="7493"/>
                                            </a:cubicBezTo>
                                            <a:cubicBezTo>
                                              <a:pt x="15295" y="10477"/>
                                              <a:pt x="16742" y="14541"/>
                                              <a:pt x="16742" y="18490"/>
                                            </a:cubicBezTo>
                                            <a:cubicBezTo>
                                              <a:pt x="16742" y="23647"/>
                                              <a:pt x="14612" y="28022"/>
                                              <a:pt x="10957" y="31107"/>
                                            </a:cubicBezTo>
                                            <a:lnTo>
                                              <a:pt x="0" y="34692"/>
                                            </a:lnTo>
                                            <a:lnTo>
                                              <a:pt x="0" y="28704"/>
                                            </a:lnTo>
                                            <a:lnTo>
                                              <a:pt x="4189" y="27074"/>
                                            </a:lnTo>
                                            <a:cubicBezTo>
                                              <a:pt x="6027" y="25091"/>
                                              <a:pt x="7027" y="22206"/>
                                              <a:pt x="7027" y="18592"/>
                                            </a:cubicBezTo>
                                            <a:cubicBezTo>
                                              <a:pt x="7027" y="14560"/>
                                              <a:pt x="5836" y="11239"/>
                                              <a:pt x="3725" y="8926"/>
                                            </a:cubicBezTo>
                                            <a:lnTo>
                                              <a:pt x="0" y="7399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EFD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3059" style="width:14.945pt;height:12.855pt;mso-position-horizontal-relative:char;mso-position-vertical-relative:line" coordsize="1898,1632">
                            <v:shape id="Shape 285" style="position:absolute;width:1898;height:1632;left:0;top:0;" coordsize="189802,163259" path="m118872,0c170549,0,189802,17679,189802,44996c189802,81471,154077,128422,125921,149365c114122,158027,101498,163259,86766,163259c41199,163259,0,109665,0,68504c0,7951,81191,0,118872,0x">
                              <v:stroke weight="0pt" endcap="flat" joinstyle="miter" miterlimit="10" on="false" color="#000000" opacity="0"/>
                              <v:fill on="true" color="#314a89"/>
                            </v:shape>
                            <v:shape id="Shape 286" style="position:absolute;width:375;height:551;left:722;top:475;" coordsize="37554,55169" path="m19863,0c24892,0,29756,1232,33909,3556l34036,3620l34036,11824l33630,11506c29515,8242,24689,6528,19698,6528c15240,6528,10046,8179,10046,12827c10046,17882,16053,20879,22403,24054l22987,24346c29134,27419,37554,31648,37554,39815c37554,51143,26302,55169,16688,55169c11062,55169,5804,54090,152,51791l0,51727l0,43434l356,43638c5575,46469,12421,48451,17005,48451c25540,48451,27331,44945,27331,42011c27331,36716,21882,34137,15558,31153l15227,30988c8318,27711,495,23991,495,15177c495,4750,10528,0,19863,0x">
                              <v:stroke weight="0pt" endcap="flat" joinstyle="miter" miterlimit="10" on="false" color="#000000" opacity="0"/>
                              <v:fill on="true" color="#fffefd"/>
                            </v:shape>
                            <v:shape id="Shape 287" style="position:absolute;width:540;height:772;left:1128;top:248;" coordsize="54051,77216" path="m12256,0l12256,44703l27102,30835c27127,30797,30137,28118,32779,24664l32855,24561l48209,24561l46279,25044c44222,25565,40437,28422,34989,33541l20892,46799c22111,48272,30721,58648,38126,66827c44133,73317,47955,74193,50914,74193c51410,74193,52070,74028,52515,73876l54051,73330l52743,74308c50203,76174,46520,77216,42367,77216c37211,77216,32830,74511,27255,67907c19965,59182,13894,51930,12256,49974l12256,62725c12256,72250,12776,73622,13576,75705l13703,76035l584,76035l800,75438c1727,72974,2197,71742,2197,62725l2197,16256c2197,8763,1677,5423,229,3480l0,3187l12256,0x">
                              <v:stroke weight="0pt" endcap="flat" joinstyle="miter" miterlimit="10" on="false" color="#000000" opacity="0"/>
                              <v:fill on="true" color="#fffefd"/>
                            </v:shape>
                            <v:shape id="Shape 288" style="position:absolute;width:258;height:769;left:208;top:475;" coordsize="25815,76949" path="m21526,0l25815,712l25815,8110l20713,6020c14008,6020,9677,10464,9677,17335c9677,25540,14567,30848,22136,30848l25815,29416l25815,35403l21844,36702c20536,36702,19355,36639,18110,36499c16827,36754,15646,37299,14694,38087c13424,39115,12700,40474,12700,41833c12700,43904,13767,45364,19012,45783c20917,45935,22695,46062,24371,46177l25815,46406l25815,54998l18897,54533c17996,54445,17119,54368,16180,54292c11531,56870,9411,59918,10173,62890c10719,65023,12693,66897,15523,68237l25815,70346l25815,76347l22199,76949c13093,76936,5626,74257,2222,69773c546,67563,0,65303,584,63067c1486,59588,5283,56121,11049,53492c6528,52044,3645,48513,3645,44348c3645,40487,6185,37198,10998,34810c4407,32105,12,25705,12,18720c12,7696,8865,0,21526,0x">
                              <v:stroke weight="0pt" endcap="flat" joinstyle="miter" miterlimit="10" on="false" color="#000000" opacity="0"/>
                              <v:fill on="true" color="#fffefd"/>
                            </v:shape>
                            <v:shape id="Shape 289" style="position:absolute;width:238;height:299;left:466;top:939;" coordsize="23893,29941" path="m0,0l16997,2692c20057,4102,22458,7099,23270,10528c23893,13170,23867,17284,20210,21869c18101,24504,14711,26673,10564,28183l0,29941l0,23940l182,23978c1261,23978,2366,23914,3471,23799c8996,23202,13021,21424,14812,18770c15777,17348,16031,15735,15574,14122c14965,12014,12843,9144,1388,8686l0,8592l0,0x">
                              <v:stroke weight="0pt" endcap="flat" joinstyle="miter" miterlimit="10" on="false" color="#000000" opacity="0"/>
                              <v:fill on="true" color="#fffefd"/>
                            </v:shape>
                            <v:shape id="Shape 290" style="position:absolute;width:224;height:346;left:466;top:482;" coordsize="22432,34692" path="m0,0l4817,799c7611,1587,9999,1968,12297,1968c14977,1968,18927,1866,22127,964l22432,876l22432,8216l22140,8165c20565,7835,15727,7531,12831,7493c15295,10477,16742,14541,16742,18490c16742,23647,14612,28022,10957,31107l0,34692l0,28704l4189,27074c6027,25091,7027,22206,7027,18592c7027,14560,5836,11239,3725,8926l0,7399l0,0x">
                              <v:stroke weight="0pt" endcap="flat" joinstyle="miter" miterlimit="10" on="false" color="#000000" opacity="0"/>
                              <v:fill on="true" color="#fffefd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17505898" w14:textId="77777777" w:rsidR="00D67262" w:rsidRDefault="00D6726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638F06" w14:textId="77777777" w:rsidR="00D67262" w:rsidRDefault="00945922">
            <w:pPr>
              <w:spacing w:after="0"/>
              <w:ind w:left="5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4E94FD" wp14:editId="4EB69D67">
                      <wp:extent cx="324002" cy="612000"/>
                      <wp:effectExtent l="0" t="0" r="0" b="0"/>
                      <wp:docPr id="3200" name="Group 3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002" cy="612000"/>
                                <a:chOff x="0" y="0"/>
                                <a:chExt cx="324002" cy="612000"/>
                              </a:xfrm>
                            </wpg:grpSpPr>
                            <wps:wsp>
                              <wps:cNvPr id="3730" name="Shape 3730"/>
                              <wps:cNvSpPr/>
                              <wps:spPr>
                                <a:xfrm>
                                  <a:off x="0" y="0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1" name="Shape 3731"/>
                              <wps:cNvSpPr/>
                              <wps:spPr>
                                <a:xfrm>
                                  <a:off x="0" y="54000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2" name="Shape 3732"/>
                              <wps:cNvSpPr/>
                              <wps:spPr>
                                <a:xfrm>
                                  <a:off x="0" y="108000"/>
                                  <a:ext cx="324002" cy="54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54001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54001"/>
                                      </a:lnTo>
                                      <a:lnTo>
                                        <a:pt x="0" y="540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3" name="Shape 3733"/>
                              <wps:cNvSpPr/>
                              <wps:spPr>
                                <a:xfrm>
                                  <a:off x="0" y="197993"/>
                                  <a:ext cx="324002" cy="54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54001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54001"/>
                                      </a:lnTo>
                                      <a:lnTo>
                                        <a:pt x="0" y="540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4" name="Shape 3734"/>
                              <wps:cNvSpPr/>
                              <wps:spPr>
                                <a:xfrm>
                                  <a:off x="0" y="287998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5" name="Shape 3735"/>
                              <wps:cNvSpPr/>
                              <wps:spPr>
                                <a:xfrm>
                                  <a:off x="0" y="341998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6" name="Shape 3736"/>
                              <wps:cNvSpPr/>
                              <wps:spPr>
                                <a:xfrm>
                                  <a:off x="0" y="395999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7" name="Shape 3737"/>
                              <wps:cNvSpPr/>
                              <wps:spPr>
                                <a:xfrm>
                                  <a:off x="0" y="449999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8" name="Shape 3738"/>
                              <wps:cNvSpPr/>
                              <wps:spPr>
                                <a:xfrm>
                                  <a:off x="0" y="503999"/>
                                  <a:ext cx="324002" cy="54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54001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54001"/>
                                      </a:lnTo>
                                      <a:lnTo>
                                        <a:pt x="0" y="540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9" name="Shape 3739"/>
                              <wps:cNvSpPr/>
                              <wps:spPr>
                                <a:xfrm>
                                  <a:off x="0" y="594004"/>
                                  <a:ext cx="324002" cy="17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002" h="17996">
                                      <a:moveTo>
                                        <a:pt x="0" y="0"/>
                                      </a:moveTo>
                                      <a:lnTo>
                                        <a:pt x="324002" y="0"/>
                                      </a:lnTo>
                                      <a:lnTo>
                                        <a:pt x="324002" y="17996"/>
                                      </a:lnTo>
                                      <a:lnTo>
                                        <a:pt x="0" y="17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14A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00" style="width:25.512pt;height:48.189pt;mso-position-horizontal-relative:char;mso-position-vertical-relative:line" coordsize="3240,6120">
                      <v:shape id="Shape 3740" style="position:absolute;width:3240;height:179;left:0;top: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741" style="position:absolute;width:3240;height:179;left:0;top:54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742" style="position:absolute;width:3240;height:540;left:0;top:1080;" coordsize="324002,54001" path="m0,0l324002,0l324002,54001l0,54001l0,0">
                        <v:stroke weight="0pt" endcap="flat" joinstyle="miter" miterlimit="10" on="false" color="#000000" opacity="0"/>
                        <v:fill on="true" color="#314a89"/>
                      </v:shape>
                      <v:shape id="Shape 3743" style="position:absolute;width:3240;height:540;left:0;top:1979;" coordsize="324002,54001" path="m0,0l324002,0l324002,54001l0,54001l0,0">
                        <v:stroke weight="0pt" endcap="flat" joinstyle="miter" miterlimit="10" on="false" color="#000000" opacity="0"/>
                        <v:fill on="true" color="#314a89"/>
                      </v:shape>
                      <v:shape id="Shape 3744" style="position:absolute;width:3240;height:179;left:0;top:2879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745" style="position:absolute;width:3240;height:179;left:0;top:3419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746" style="position:absolute;width:3240;height:179;left:0;top:3959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747" style="position:absolute;width:3240;height:179;left:0;top:4499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  <v:shape id="Shape 3748" style="position:absolute;width:3240;height:540;left:0;top:5039;" coordsize="324002,54001" path="m0,0l324002,0l324002,54001l0,54001l0,0">
                        <v:stroke weight="0pt" endcap="flat" joinstyle="miter" miterlimit="10" on="false" color="#000000" opacity="0"/>
                        <v:fill on="true" color="#314a89"/>
                      </v:shape>
                      <v:shape id="Shape 3749" style="position:absolute;width:3240;height:179;left:0;top:5940;" coordsize="324002,17996" path="m0,0l324002,0l324002,17996l0,17996l0,0">
                        <v:stroke weight="0pt" endcap="flat" joinstyle="miter" miterlimit="10" on="false" color="#000000" opacity="0"/>
                        <v:fill on="true" color="#314a89"/>
                      </v:shape>
                    </v:group>
                  </w:pict>
                </mc:Fallback>
              </mc:AlternateContent>
            </w:r>
          </w:p>
        </w:tc>
      </w:tr>
    </w:tbl>
    <w:p w14:paraId="705D5F4D" w14:textId="77777777" w:rsidR="00000000" w:rsidRDefault="00945922"/>
    <w:sectPr w:rsidR="00000000">
      <w:pgSz w:w="11339" w:h="1785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A8E7D" w14:textId="77777777" w:rsidR="00945922" w:rsidRDefault="00945922" w:rsidP="00945922">
      <w:pPr>
        <w:spacing w:after="0" w:line="240" w:lineRule="auto"/>
      </w:pPr>
      <w:r>
        <w:separator/>
      </w:r>
    </w:p>
  </w:endnote>
  <w:endnote w:type="continuationSeparator" w:id="0">
    <w:p w14:paraId="40ED483D" w14:textId="77777777" w:rsidR="00945922" w:rsidRDefault="00945922" w:rsidP="0094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EF7EA" w14:textId="77777777" w:rsidR="00945922" w:rsidRDefault="00945922" w:rsidP="00945922">
      <w:pPr>
        <w:spacing w:after="0" w:line="240" w:lineRule="auto"/>
      </w:pPr>
      <w:r>
        <w:separator/>
      </w:r>
    </w:p>
  </w:footnote>
  <w:footnote w:type="continuationSeparator" w:id="0">
    <w:p w14:paraId="62E287F3" w14:textId="77777777" w:rsidR="00945922" w:rsidRDefault="00945922" w:rsidP="00945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62"/>
    <w:rsid w:val="00945922"/>
    <w:rsid w:val="00D6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0755"/>
  <w15:docId w15:val="{412B6ABA-D60A-458D-BE9E-5A43C93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4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92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94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9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FCE4D2C2F8743950F392AD9C67A27" ma:contentTypeVersion="11" ma:contentTypeDescription="Create a new document." ma:contentTypeScope="" ma:versionID="1028184052ab078d9359d0339e053427">
  <xsd:schema xmlns:xsd="http://www.w3.org/2001/XMLSchema" xmlns:xs="http://www.w3.org/2001/XMLSchema" xmlns:p="http://schemas.microsoft.com/office/2006/metadata/properties" xmlns:ns3="75378dd7-2a12-4a9a-945a-ae255d0ceb78" xmlns:ns4="1d1e6f59-8f70-40fb-9565-c4cf8603617b" targetNamespace="http://schemas.microsoft.com/office/2006/metadata/properties" ma:root="true" ma:fieldsID="20e814c83f0a290fc32376cf4690085d" ns3:_="" ns4:_="">
    <xsd:import namespace="75378dd7-2a12-4a9a-945a-ae255d0ceb78"/>
    <xsd:import namespace="1d1e6f59-8f70-40fb-9565-c4cf860361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78dd7-2a12-4a9a-945a-ae255d0ce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e6f59-8f70-40fb-9565-c4cf86036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ECF6-9A8A-4262-89D1-DDC794DC3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78dd7-2a12-4a9a-945a-ae255d0ceb78"/>
    <ds:schemaRef ds:uri="1d1e6f59-8f70-40fb-9565-c4cf86036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982F3-13B1-4BF6-B6E3-A56370ED0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39259-E7B0-47F4-A88E-3000E2C8238C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75378dd7-2a12-4a9a-945a-ae255d0ceb7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d1e6f59-8f70-40fb-9565-c4cf8603617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8319A1-785E-44D9-B3EF-68DDA5DA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ROLL ON RU 152332_938968Z_PIL</dc:title>
  <dc:subject/>
  <dc:creator>Anastasia Bogochanova</dc:creator>
  <cp:keywords/>
  <cp:lastModifiedBy>Anastasia Bogochanova</cp:lastModifiedBy>
  <cp:revision>2</cp:revision>
  <dcterms:created xsi:type="dcterms:W3CDTF">2019-09-03T18:43:00Z</dcterms:created>
  <dcterms:modified xsi:type="dcterms:W3CDTF">2019-09-03T18:43:00Z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0x010100487FCE4D2C2F8743950F392AD9C67A27</vt:lpwstr>
  </property>
</Properties>
</file>